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bookmarkStart w:id="4" w:name="_GoBack"/>
      <w:bookmarkEnd w:id="4"/>
    </w:p>
    <w:p>
      <w:pPr>
        <w:jc w:val="both"/>
        <w:rPr>
          <w:rFonts w:ascii="方正小标宋简体" w:hAnsi="方正小标宋简体" w:eastAsia="方正小标宋简体" w:cs="方正小标宋简体"/>
          <w:sz w:val="84"/>
          <w:szCs w:val="84"/>
        </w:rPr>
      </w:pPr>
    </w:p>
    <w:p>
      <w:pPr>
        <w:jc w:val="center"/>
        <w:rPr>
          <w:rFonts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r>
        <w:rPr>
          <w:rFonts w:ascii="黑体" w:hAnsi="黑体" w:eastAsia="黑体" w:cs="方正小标宋简体"/>
          <w:sz w:val="44"/>
          <w:szCs w:val="44"/>
        </w:rPr>
        <w:t>201</w:t>
      </w:r>
      <w:r>
        <w:rPr>
          <w:rFonts w:hint="eastAsia" w:ascii="黑体" w:hAnsi="黑体" w:eastAsia="黑体" w:cs="方正小标宋简体"/>
          <w:sz w:val="44"/>
          <w:szCs w:val="44"/>
          <w:lang w:val="en-US" w:eastAsia="zh-CN"/>
        </w:rPr>
        <w:t>8</w:t>
      </w:r>
      <w:r>
        <w:rPr>
          <w:rFonts w:hint="eastAsia" w:ascii="黑体" w:hAnsi="黑体" w:eastAsia="黑体" w:cs="方正小标宋简体"/>
          <w:sz w:val="44"/>
          <w:szCs w:val="44"/>
        </w:rPr>
        <w:t xml:space="preserve"> </w:t>
      </w:r>
      <w:bookmarkEnd w:id="0"/>
      <w:r>
        <w:rPr>
          <w:rFonts w:hint="eastAsia" w:ascii="黑体" w:hAnsi="黑体" w:eastAsia="黑体" w:cs="方正小标宋简体"/>
          <w:sz w:val="44"/>
          <w:szCs w:val="44"/>
        </w:rPr>
        <w:t>年</w:t>
      </w:r>
    </w:p>
    <w:p>
      <w:pPr>
        <w:jc w:val="center"/>
        <w:rPr>
          <w:rFonts w:ascii="黑体" w:hAnsi="黑体" w:eastAsia="黑体" w:cs="方正小标宋简体"/>
          <w:sz w:val="44"/>
          <w:szCs w:val="44"/>
        </w:rPr>
      </w:pPr>
      <w:bookmarkStart w:id="1" w:name="PO_title1"/>
      <w:r>
        <w:rPr>
          <w:rFonts w:hint="eastAsia" w:ascii="方正小标宋简体" w:hAnsi="方正小标宋简体" w:eastAsia="方正小标宋简体" w:cs="方正小标宋简体"/>
          <w:sz w:val="44"/>
          <w:szCs w:val="44"/>
        </w:rPr>
        <w:t xml:space="preserve"> </w:t>
      </w:r>
      <w:r>
        <w:rPr>
          <w:rFonts w:hint="eastAsia" w:ascii="黑体" w:hAnsi="黑体" w:eastAsia="黑体" w:cs="方正小标宋简体"/>
          <w:sz w:val="44"/>
          <w:szCs w:val="44"/>
        </w:rPr>
        <w:t>广东省卫生</w:t>
      </w:r>
      <w:r>
        <w:rPr>
          <w:rFonts w:hint="eastAsia" w:ascii="黑体" w:hAnsi="黑体" w:eastAsia="黑体" w:cs="方正小标宋简体"/>
          <w:sz w:val="44"/>
          <w:szCs w:val="44"/>
          <w:lang w:eastAsia="zh-CN"/>
        </w:rPr>
        <w:t>健康委员会</w:t>
      </w:r>
      <w:r>
        <w:rPr>
          <w:rFonts w:hint="eastAsia" w:ascii="黑体" w:hAnsi="黑体" w:eastAsia="黑体" w:cs="方正小标宋简体"/>
          <w:sz w:val="44"/>
          <w:szCs w:val="44"/>
        </w:rPr>
        <w:t>政务服务中心</w:t>
      </w:r>
    </w:p>
    <w:p>
      <w:pPr>
        <w:jc w:val="center"/>
        <w:rPr>
          <w:rFonts w:hint="eastAsia" w:ascii="方正小标宋简体" w:hAnsi="方正小标宋简体" w:eastAsia="黑体" w:cs="方正小标宋简体"/>
          <w:sz w:val="44"/>
          <w:szCs w:val="44"/>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方正小标宋简体" w:hAnsi="方正小标宋简体" w:eastAsia="方正小标宋简体" w:cs="方正小标宋简体"/>
          <w:sz w:val="44"/>
          <w:szCs w:val="44"/>
        </w:rPr>
        <w:t xml:space="preserve"> </w:t>
      </w:r>
      <w:bookmarkEnd w:id="1"/>
      <w:r>
        <w:rPr>
          <w:rFonts w:hint="eastAsia" w:ascii="黑体" w:hAnsi="黑体" w:eastAsia="黑体" w:cs="方正小标宋简体"/>
          <w:sz w:val="44"/>
          <w:szCs w:val="44"/>
        </w:rPr>
        <w:t>部门</w:t>
      </w:r>
      <w:r>
        <w:rPr>
          <w:rFonts w:hint="eastAsia" w:ascii="黑体" w:hAnsi="黑体" w:eastAsia="黑体" w:cs="方正小标宋简体"/>
          <w:sz w:val="44"/>
          <w:szCs w:val="44"/>
          <w:lang w:eastAsia="zh-CN"/>
        </w:rPr>
        <w:t>决</w:t>
      </w:r>
      <w:r>
        <w:rPr>
          <w:rFonts w:hint="eastAsia" w:ascii="黑体" w:hAnsi="黑体" w:eastAsia="黑体" w:cs="方正小标宋简体"/>
          <w:sz w:val="44"/>
          <w:szCs w:val="44"/>
        </w:rPr>
        <w:t>算</w:t>
      </w:r>
      <w:r>
        <w:rPr>
          <w:rFonts w:hint="eastAsia" w:ascii="黑体" w:hAnsi="黑体" w:eastAsia="黑体" w:cs="方正小标宋简体"/>
          <w:sz w:val="44"/>
          <w:szCs w:val="44"/>
          <w:lang w:eastAsia="zh-CN"/>
        </w:rPr>
        <w:t>公开情况说明</w:t>
      </w: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目 录</w:t>
      </w:r>
    </w:p>
    <w:p>
      <w:pPr>
        <w:jc w:val="center"/>
        <w:rPr>
          <w:rFonts w:hint="eastAsia" w:ascii="黑体" w:hAnsi="黑体" w:eastAsia="黑体" w:cs="方正小标宋简体"/>
          <w:sz w:val="44"/>
          <w:szCs w:val="44"/>
        </w:rPr>
      </w:pPr>
    </w:p>
    <w:p>
      <w:pPr>
        <w:numPr>
          <w:ilvl w:val="0"/>
          <w:numId w:val="1"/>
        </w:numPr>
        <w:ind w:firstLine="640" w:firstLineChars="200"/>
        <w:rPr>
          <w:rFonts w:hint="eastAsia" w:ascii="黑体" w:hAnsi="黑体" w:eastAsia="黑体" w:cs="黑体"/>
          <w:b w:val="0"/>
          <w:bCs/>
          <w:sz w:val="32"/>
          <w:szCs w:val="32"/>
        </w:rPr>
      </w:pPr>
      <w:bookmarkStart w:id="2" w:name="PO_dirDivName1"/>
      <w:r>
        <w:rPr>
          <w:rFonts w:hint="eastAsia" w:ascii="黑体" w:hAnsi="黑体" w:eastAsia="黑体" w:cs="黑体"/>
          <w:b w:val="0"/>
          <w:bCs/>
          <w:sz w:val="32"/>
          <w:szCs w:val="32"/>
        </w:rPr>
        <w:t xml:space="preserve"> 广东省</w:t>
      </w:r>
      <w:r>
        <w:rPr>
          <w:rFonts w:hint="eastAsia" w:ascii="黑体" w:hAnsi="黑体" w:eastAsia="黑体" w:cs="黑体"/>
          <w:b w:val="0"/>
          <w:bCs/>
          <w:sz w:val="32"/>
          <w:szCs w:val="32"/>
          <w:lang w:eastAsia="zh-CN"/>
        </w:rPr>
        <w:t>卫生健康委员会</w:t>
      </w:r>
      <w:r>
        <w:rPr>
          <w:rFonts w:hint="eastAsia" w:ascii="黑体" w:hAnsi="黑体" w:eastAsia="黑体" w:cs="黑体"/>
          <w:b w:val="0"/>
          <w:bCs/>
          <w:sz w:val="32"/>
          <w:szCs w:val="32"/>
        </w:rPr>
        <w:t>政务服务中心</w:t>
      </w:r>
      <w:bookmarkEnd w:id="2"/>
      <w:r>
        <w:rPr>
          <w:rFonts w:hint="eastAsia" w:ascii="黑体" w:hAnsi="黑体" w:eastAsia="黑体" w:cs="黑体"/>
          <w:b w:val="0"/>
          <w:bCs/>
          <w:sz w:val="32"/>
          <w:szCs w:val="32"/>
        </w:rPr>
        <w:t>概况</w:t>
      </w:r>
    </w:p>
    <w:p>
      <w:pPr>
        <w:widowControl w:val="0"/>
        <w:wordWrap/>
        <w:adjustRightInd/>
        <w:snapToGrid/>
        <w:spacing w:before="0" w:beforeLines="0" w:after="0" w:afterLines="0" w:line="540" w:lineRule="exact"/>
        <w:ind w:left="0" w:leftChars="0" w:right="0" w:firstLine="640" w:firstLineChars="20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 xml:space="preserve">第二部分 </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201</w:t>
      </w:r>
      <w:r>
        <w:rPr>
          <w:rFonts w:hint="eastAsia" w:ascii="黑体" w:hAnsi="黑体" w:eastAsia="黑体" w:cs="黑体"/>
          <w:b w:val="0"/>
          <w:bCs/>
          <w:color w:val="000000"/>
          <w:sz w:val="32"/>
          <w:szCs w:val="32"/>
          <w:lang w:val="en-US" w:eastAsia="zh-CN"/>
        </w:rPr>
        <w:t>8</w:t>
      </w:r>
      <w:r>
        <w:rPr>
          <w:rFonts w:hint="eastAsia" w:ascii="黑体" w:hAnsi="黑体" w:eastAsia="黑体" w:cs="黑体"/>
          <w:b w:val="0"/>
          <w:bCs/>
          <w:color w:val="000000"/>
          <w:sz w:val="32"/>
          <w:szCs w:val="32"/>
        </w:rPr>
        <w:t>年部门决算表</w:t>
      </w:r>
    </w:p>
    <w:p>
      <w:pPr>
        <w:widowControl w:val="0"/>
        <w:wordWrap/>
        <w:adjustRightInd/>
        <w:snapToGrid/>
        <w:spacing w:before="0" w:beforeLines="0" w:after="0" w:afterLines="0" w:line="540" w:lineRule="exact"/>
        <w:ind w:left="0" w:leftChars="0" w:right="0" w:firstLine="640" w:firstLineChars="200"/>
        <w:textAlignment w:val="auto"/>
        <w:rPr>
          <w:rFonts w:hint="default" w:ascii="Times New Roman" w:hAnsi="Times New Roman" w:eastAsia="仿宋_GB2312" w:cs="Times New Roman"/>
          <w:b/>
          <w:color w:val="000000"/>
          <w:sz w:val="32"/>
        </w:rPr>
      </w:pPr>
      <w:r>
        <w:rPr>
          <w:rFonts w:hint="default" w:ascii="Times New Roman" w:hAnsi="Times New Roman" w:eastAsia="仿宋_GB2312" w:cs="Times New Roman"/>
          <w:color w:val="000000"/>
          <w:sz w:val="32"/>
        </w:rPr>
        <w:t>一、</w:t>
      </w:r>
      <w:r>
        <w:rPr>
          <w:rFonts w:hint="default" w:ascii="Times New Roman" w:hAnsi="Times New Roman" w:eastAsia="仿宋_GB2312" w:cs="Times New Roman"/>
          <w:color w:val="000000"/>
          <w:kern w:val="0"/>
          <w:sz w:val="32"/>
        </w:rPr>
        <w:t>收入支出决算总表</w:t>
      </w:r>
    </w:p>
    <w:p>
      <w:pPr>
        <w:widowControl w:val="0"/>
        <w:wordWrap/>
        <w:adjustRightInd/>
        <w:snapToGrid/>
        <w:spacing w:before="0" w:beforeLines="0" w:after="0" w:afterLines="0" w:line="540" w:lineRule="exact"/>
        <w:ind w:left="0" w:leftChars="0" w:right="0" w:firstLine="640" w:firstLineChars="200"/>
        <w:textAlignment w:val="auto"/>
        <w:outlineLvl w:val="0"/>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sz w:val="32"/>
        </w:rPr>
        <w:t>二、</w:t>
      </w:r>
      <w:r>
        <w:rPr>
          <w:rFonts w:hint="default" w:ascii="Times New Roman" w:hAnsi="Times New Roman" w:eastAsia="仿宋_GB2312" w:cs="Times New Roman"/>
          <w:color w:val="000000"/>
          <w:kern w:val="0"/>
          <w:sz w:val="32"/>
        </w:rPr>
        <w:t>收入决算表</w:t>
      </w:r>
    </w:p>
    <w:p>
      <w:pPr>
        <w:widowControl w:val="0"/>
        <w:wordWrap/>
        <w:adjustRightInd/>
        <w:snapToGrid/>
        <w:spacing w:before="0" w:beforeLines="0" w:after="0" w:afterLines="0" w:line="540" w:lineRule="exact"/>
        <w:ind w:left="0" w:leftChars="0" w:right="0" w:firstLine="640" w:firstLineChars="200"/>
        <w:textAlignment w:val="auto"/>
        <w:outlineLvl w:val="0"/>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三、支出决算表</w:t>
      </w:r>
    </w:p>
    <w:p>
      <w:pPr>
        <w:widowControl w:val="0"/>
        <w:wordWrap/>
        <w:adjustRightInd/>
        <w:snapToGrid/>
        <w:spacing w:before="0" w:beforeLines="0" w:after="0" w:afterLines="0" w:line="540" w:lineRule="exact"/>
        <w:ind w:left="0" w:leftChars="0" w:right="0" w:firstLine="640" w:firstLineChars="200"/>
        <w:textAlignment w:val="auto"/>
        <w:outlineLvl w:val="0"/>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kern w:val="0"/>
          <w:sz w:val="32"/>
        </w:rPr>
        <w:t>四、财政拨款收入支出决算总表</w:t>
      </w:r>
    </w:p>
    <w:p>
      <w:pPr>
        <w:widowControl w:val="0"/>
        <w:wordWrap/>
        <w:adjustRightInd/>
        <w:snapToGrid/>
        <w:spacing w:before="0" w:beforeLines="0" w:after="0" w:afterLines="0" w:line="540" w:lineRule="exact"/>
        <w:ind w:left="0" w:leftChars="0" w:right="0" w:firstLine="640" w:firstLineChars="200"/>
        <w:textAlignment w:val="auto"/>
        <w:outlineLvl w:val="0"/>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五、一般公共预算财政拨款支出决算表</w:t>
      </w:r>
    </w:p>
    <w:p>
      <w:pPr>
        <w:widowControl w:val="0"/>
        <w:wordWrap/>
        <w:adjustRightInd/>
        <w:snapToGrid/>
        <w:spacing w:before="0" w:beforeLines="0" w:after="0" w:afterLines="0" w:line="540" w:lineRule="exact"/>
        <w:ind w:left="0" w:leftChars="0" w:right="0"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kern w:val="0"/>
          <w:sz w:val="32"/>
        </w:rPr>
        <w:t>六、一般公共预算财政拨款基本支出决算表</w:t>
      </w:r>
    </w:p>
    <w:p>
      <w:pPr>
        <w:widowControl w:val="0"/>
        <w:wordWrap/>
        <w:adjustRightInd/>
        <w:snapToGrid/>
        <w:spacing w:before="0" w:beforeLines="0" w:after="0" w:afterLines="0" w:line="540" w:lineRule="exact"/>
        <w:ind w:left="0" w:leftChars="0" w:right="0" w:firstLine="640" w:firstLineChars="200"/>
        <w:textAlignment w:val="auto"/>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七、一般公共预算财政拨款“三公”经费支出决算表</w:t>
      </w:r>
    </w:p>
    <w:p>
      <w:pPr>
        <w:widowControl w:val="0"/>
        <w:wordWrap/>
        <w:adjustRightInd/>
        <w:snapToGrid/>
        <w:spacing w:before="0" w:beforeLines="0" w:after="0" w:afterLines="0" w:line="540" w:lineRule="exact"/>
        <w:ind w:left="0" w:leftChars="0" w:right="0" w:firstLine="640" w:firstLineChars="200"/>
        <w:textAlignment w:val="auto"/>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八、政府性基金预算财政拨款收入支出决算表</w:t>
      </w:r>
    </w:p>
    <w:p>
      <w:pPr>
        <w:widowControl w:val="0"/>
        <w:wordWrap/>
        <w:adjustRightInd/>
        <w:snapToGrid/>
        <w:spacing w:before="0" w:beforeLines="0" w:after="0" w:afterLines="0" w:line="540" w:lineRule="exact"/>
        <w:ind w:left="2558" w:leftChars="304" w:right="0" w:hanging="1920" w:hangingChars="60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 xml:space="preserve">第三部分 </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201</w:t>
      </w:r>
      <w:r>
        <w:rPr>
          <w:rFonts w:hint="eastAsia" w:ascii="黑体" w:hAnsi="黑体" w:eastAsia="黑体" w:cs="黑体"/>
          <w:b w:val="0"/>
          <w:bCs/>
          <w:color w:val="000000"/>
          <w:sz w:val="32"/>
          <w:szCs w:val="32"/>
          <w:lang w:val="en-US" w:eastAsia="zh-CN"/>
        </w:rPr>
        <w:t>8</w:t>
      </w:r>
      <w:r>
        <w:rPr>
          <w:rFonts w:hint="eastAsia" w:ascii="黑体" w:hAnsi="黑体" w:eastAsia="黑体" w:cs="黑体"/>
          <w:b w:val="0"/>
          <w:bCs/>
          <w:color w:val="000000"/>
          <w:sz w:val="32"/>
          <w:szCs w:val="32"/>
        </w:rPr>
        <w:t>年部门决算情况说明</w:t>
      </w:r>
    </w:p>
    <w:p>
      <w:pPr>
        <w:spacing w:line="288" w:lineRule="auto"/>
        <w:ind w:firstLine="640" w:firstLineChars="200"/>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第四部分  名词</w:t>
      </w:r>
      <w:r>
        <w:rPr>
          <w:rFonts w:hint="default" w:ascii="Times New Roman" w:hAnsi="Times New Roman" w:eastAsia="黑体" w:cs="Times New Roman"/>
          <w:b w:val="0"/>
          <w:bCs/>
          <w:color w:val="000000"/>
          <w:sz w:val="32"/>
          <w:szCs w:val="32"/>
          <w:lang w:eastAsia="zh-CN"/>
        </w:rPr>
        <w:t>解释</w:t>
      </w:r>
    </w:p>
    <w:p>
      <w:pPr>
        <w:numPr>
          <w:ilvl w:val="0"/>
          <w:numId w:val="0"/>
        </w:numPr>
        <w:rPr>
          <w:rFonts w:hint="eastAsia" w:ascii="黑体" w:hAnsi="黑体" w:eastAsia="黑体" w:cs="黑体"/>
          <w:b/>
          <w:sz w:val="32"/>
          <w:szCs w:val="32"/>
          <w:lang w:val="en-US" w:eastAsia="zh-CN"/>
        </w:rPr>
      </w:pPr>
    </w:p>
    <w:p/>
    <w:p/>
    <w:p/>
    <w:p/>
    <w:p/>
    <w:p/>
    <w:p/>
    <w:p/>
    <w:p/>
    <w:p/>
    <w:p/>
    <w:p/>
    <w:p/>
    <w:p/>
    <w:p/>
    <w:p/>
    <w:p/>
    <w:p>
      <w:pPr>
        <w:jc w:val="center"/>
        <w:rPr>
          <w:rFonts w:ascii="方正小标宋简体" w:hAnsi="方正小标宋简体" w:eastAsia="方正小标宋简体" w:cs="方正小标宋简体"/>
          <w:sz w:val="36"/>
          <w:szCs w:val="36"/>
        </w:rPr>
      </w:pPr>
      <w:r>
        <w:rPr>
          <w:rFonts w:hint="eastAsia" w:ascii="黑体" w:hAnsi="黑体" w:eastAsia="黑体" w:cs="方正小标宋简体"/>
          <w:sz w:val="36"/>
          <w:szCs w:val="36"/>
        </w:rPr>
        <w:t>第一部分</w:t>
      </w:r>
      <w:r>
        <w:rPr>
          <w:rFonts w:hint="eastAsia" w:ascii="方正小标宋简体" w:hAnsi="方正小标宋简体" w:eastAsia="方正小标宋简体" w:cs="方正小标宋简体"/>
          <w:sz w:val="36"/>
          <w:szCs w:val="36"/>
        </w:rPr>
        <w:t xml:space="preserve">  </w:t>
      </w:r>
      <w:bookmarkStart w:id="3" w:name="PO_part1DivName1"/>
      <w:r>
        <w:rPr>
          <w:rFonts w:ascii="方正小标宋简体" w:hAnsi="方正小标宋简体" w:eastAsia="方正小标宋简体" w:cs="方正小标宋简体"/>
          <w:sz w:val="36"/>
          <w:szCs w:val="36"/>
        </w:rPr>
        <w:t xml:space="preserve"> </w:t>
      </w:r>
      <w:r>
        <w:rPr>
          <w:rFonts w:hint="eastAsia" w:ascii="黑体" w:hAnsi="黑体" w:eastAsia="黑体" w:cs="方正小标宋简体"/>
          <w:sz w:val="36"/>
          <w:szCs w:val="36"/>
        </w:rPr>
        <w:t>广东省卫生</w:t>
      </w:r>
      <w:r>
        <w:rPr>
          <w:rFonts w:hint="eastAsia" w:ascii="黑体" w:hAnsi="黑体" w:eastAsia="黑体" w:cs="方正小标宋简体"/>
          <w:sz w:val="36"/>
          <w:szCs w:val="36"/>
          <w:lang w:eastAsia="zh-CN"/>
        </w:rPr>
        <w:t>健康委员会</w:t>
      </w:r>
      <w:r>
        <w:rPr>
          <w:rFonts w:hint="eastAsia" w:ascii="黑体" w:hAnsi="黑体" w:eastAsia="黑体" w:cs="方正小标宋简体"/>
          <w:sz w:val="36"/>
          <w:szCs w:val="36"/>
        </w:rPr>
        <w:t>政务服务中心</w:t>
      </w:r>
      <w:bookmarkEnd w:id="3"/>
      <w:r>
        <w:rPr>
          <w:rFonts w:hint="eastAsia" w:ascii="黑体" w:hAnsi="黑体" w:eastAsia="黑体" w:cs="方正小标宋简体"/>
          <w:sz w:val="36"/>
          <w:szCs w:val="36"/>
        </w:rPr>
        <w:t>概况</w:t>
      </w:r>
    </w:p>
    <w:p>
      <w:pPr>
        <w:rPr>
          <w:rFonts w:ascii="黑体" w:hAnsi="黑体" w:eastAsia="黑体" w:cs="黑体"/>
          <w:sz w:val="44"/>
          <w:szCs w:val="44"/>
        </w:rPr>
      </w:pPr>
    </w:p>
    <w:p>
      <w:pPr>
        <w:rPr>
          <w:rFonts w:hint="eastAsia" w:ascii="黑体" w:hAnsi="黑体" w:eastAsia="黑体" w:cs="仿宋_GB2312"/>
          <w:sz w:val="32"/>
          <w:szCs w:val="32"/>
        </w:rPr>
      </w:pPr>
      <w:r>
        <w:rPr>
          <w:rFonts w:hint="eastAsia" w:ascii="黑体" w:hAnsi="黑体" w:eastAsia="黑体" w:cs="仿宋_GB2312"/>
          <w:sz w:val="32"/>
          <w:szCs w:val="32"/>
        </w:rPr>
        <w:t xml:space="preserve">   一</w:t>
      </w:r>
      <w:r>
        <w:rPr>
          <w:rFonts w:ascii="黑体" w:hAnsi="黑体" w:eastAsia="黑体" w:cs="仿宋_GB2312"/>
          <w:sz w:val="32"/>
          <w:szCs w:val="32"/>
        </w:rPr>
        <w:t>、</w:t>
      </w:r>
      <w:r>
        <w:rPr>
          <w:rFonts w:hint="eastAsia" w:ascii="黑体" w:hAnsi="黑体" w:eastAsia="黑体" w:cs="仿宋_GB2312"/>
          <w:sz w:val="32"/>
          <w:szCs w:val="32"/>
        </w:rPr>
        <w:t>基本</w:t>
      </w:r>
      <w:r>
        <w:rPr>
          <w:rFonts w:ascii="黑体" w:hAnsi="黑体" w:eastAsia="黑体" w:cs="仿宋_GB2312"/>
          <w:sz w:val="32"/>
          <w:szCs w:val="32"/>
        </w:rPr>
        <w:t>情况</w:t>
      </w:r>
    </w:p>
    <w:p>
      <w:pPr>
        <w:ind w:firstLine="600" w:firstLineChars="200"/>
        <w:rPr>
          <w:rFonts w:ascii="仿宋_GB2312" w:eastAsia="仿宋_GB2312"/>
          <w:sz w:val="32"/>
          <w:szCs w:val="32"/>
        </w:rPr>
      </w:pPr>
      <w:r>
        <w:rPr>
          <w:rFonts w:hint="eastAsia" w:ascii="仿宋_GB2312" w:eastAsia="仿宋_GB2312"/>
          <w:sz w:val="30"/>
          <w:szCs w:val="30"/>
          <w:lang w:eastAsia="zh-CN"/>
        </w:rPr>
        <w:t>广东省卫生健康委员会</w:t>
      </w:r>
      <w:r>
        <w:rPr>
          <w:rFonts w:hint="eastAsia" w:ascii="仿宋_GB2312" w:eastAsia="仿宋_GB2312"/>
          <w:sz w:val="30"/>
          <w:szCs w:val="30"/>
        </w:rPr>
        <w:t>政务服务中心为</w:t>
      </w:r>
      <w:r>
        <w:rPr>
          <w:rFonts w:ascii="仿宋_GB2312" w:eastAsia="仿宋_GB2312"/>
          <w:sz w:val="30"/>
          <w:szCs w:val="30"/>
        </w:rPr>
        <w:t>公益一类事业单位，</w:t>
      </w:r>
      <w:r>
        <w:rPr>
          <w:rFonts w:hint="eastAsia" w:ascii="仿宋_GB2312" w:eastAsia="仿宋_GB2312"/>
          <w:sz w:val="30"/>
          <w:szCs w:val="30"/>
          <w:lang w:eastAsia="zh-CN"/>
        </w:rPr>
        <w:t>现设有内部科室</w:t>
      </w:r>
      <w:r>
        <w:rPr>
          <w:rFonts w:ascii="仿宋_GB2312" w:eastAsia="仿宋_GB2312"/>
          <w:sz w:val="30"/>
          <w:szCs w:val="30"/>
        </w:rPr>
        <w:t>分别是：办公室、</w:t>
      </w:r>
      <w:r>
        <w:rPr>
          <w:rFonts w:hint="eastAsia" w:ascii="仿宋_GB2312" w:eastAsia="仿宋_GB2312"/>
          <w:sz w:val="30"/>
          <w:szCs w:val="30"/>
        </w:rPr>
        <w:t>统计科、信息管理科、电子政务科、</w:t>
      </w:r>
      <w:r>
        <w:rPr>
          <w:rFonts w:hint="eastAsia" w:ascii="仿宋_GB2312" w:eastAsia="仿宋_GB2312"/>
          <w:sz w:val="30"/>
          <w:szCs w:val="30"/>
          <w:lang w:eastAsia="zh-CN"/>
        </w:rPr>
        <w:t>政务服务科</w:t>
      </w:r>
      <w:r>
        <w:rPr>
          <w:rFonts w:ascii="仿宋_GB2312" w:eastAsia="仿宋_GB2312"/>
          <w:sz w:val="30"/>
          <w:szCs w:val="30"/>
        </w:rPr>
        <w:t>。</w:t>
      </w:r>
    </w:p>
    <w:p>
      <w:pPr>
        <w:ind w:firstLine="640" w:firstLineChars="200"/>
        <w:rPr>
          <w:rFonts w:hint="eastAsia" w:ascii="黑体" w:hAnsi="黑体" w:eastAsia="黑体" w:cs="黑体"/>
          <w:sz w:val="32"/>
          <w:szCs w:val="44"/>
        </w:rPr>
      </w:pPr>
      <w:r>
        <w:rPr>
          <w:rFonts w:hint="eastAsia" w:ascii="黑体" w:hAnsi="黑体" w:eastAsia="黑体" w:cs="黑体"/>
          <w:sz w:val="32"/>
          <w:szCs w:val="44"/>
        </w:rPr>
        <w:t>二</w:t>
      </w:r>
      <w:r>
        <w:rPr>
          <w:rFonts w:ascii="黑体" w:hAnsi="黑体" w:eastAsia="黑体" w:cs="黑体"/>
          <w:sz w:val="32"/>
          <w:szCs w:val="44"/>
        </w:rPr>
        <w:t>、</w:t>
      </w:r>
      <w:r>
        <w:rPr>
          <w:rFonts w:hint="eastAsia" w:ascii="黑体" w:hAnsi="黑体" w:eastAsia="黑体" w:cs="黑体"/>
          <w:sz w:val="32"/>
          <w:szCs w:val="44"/>
        </w:rPr>
        <w:t>主要职责</w:t>
      </w:r>
    </w:p>
    <w:p>
      <w:pPr>
        <w:snapToGrid w:val="0"/>
        <w:spacing w:line="560" w:lineRule="exact"/>
        <w:ind w:firstLine="600" w:firstLineChars="200"/>
        <w:rPr>
          <w:rFonts w:ascii="Times New Roman" w:hAnsi="Times New Roman" w:eastAsia="仿宋_GB2312"/>
          <w:color w:val="000000"/>
          <w:sz w:val="30"/>
          <w:szCs w:val="30"/>
          <w:shd w:val="clear" w:color="auto" w:fill="FFFFFF"/>
        </w:rPr>
      </w:pPr>
      <w:r>
        <w:rPr>
          <w:rFonts w:hint="eastAsia" w:ascii="Times New Roman" w:hAnsi="Times New Roman" w:eastAsia="仿宋_GB2312"/>
          <w:color w:val="000000"/>
          <w:sz w:val="30"/>
          <w:szCs w:val="30"/>
          <w:shd w:val="clear" w:color="auto" w:fill="FFFFFF"/>
          <w:lang w:eastAsia="zh-CN"/>
        </w:rPr>
        <w:t>广东省卫生健康委员会</w:t>
      </w:r>
      <w:r>
        <w:rPr>
          <w:rFonts w:hint="eastAsia" w:ascii="仿宋_GB2312" w:eastAsia="仿宋_GB2312"/>
          <w:sz w:val="30"/>
          <w:szCs w:val="30"/>
        </w:rPr>
        <w:t>政务服务中心</w:t>
      </w:r>
      <w:r>
        <w:rPr>
          <w:rFonts w:ascii="Times New Roman" w:hAnsi="Times New Roman" w:eastAsia="仿宋_GB2312"/>
          <w:color w:val="000000"/>
          <w:sz w:val="30"/>
          <w:szCs w:val="30"/>
          <w:shd w:val="clear" w:color="auto" w:fill="FFFFFF"/>
        </w:rPr>
        <w:t>主要职责是</w:t>
      </w:r>
      <w:r>
        <w:rPr>
          <w:rFonts w:ascii="Times New Roman" w:hAnsi="Times New Roman" w:eastAsia="仿宋_GB2312"/>
          <w:b/>
          <w:bCs/>
          <w:color w:val="000000"/>
          <w:sz w:val="30"/>
          <w:szCs w:val="30"/>
          <w:shd w:val="clear" w:color="auto" w:fill="FFFFFF"/>
        </w:rPr>
        <w:t>：</w:t>
      </w:r>
      <w:r>
        <w:rPr>
          <w:rFonts w:hint="eastAsia" w:ascii="Times New Roman" w:hAnsi="Times New Roman" w:eastAsia="仿宋_GB2312"/>
          <w:color w:val="000000"/>
          <w:sz w:val="30"/>
          <w:szCs w:val="30"/>
          <w:shd w:val="clear" w:color="auto" w:fill="FFFFFF"/>
        </w:rPr>
        <w:t>承担省卫生</w:t>
      </w:r>
      <w:r>
        <w:rPr>
          <w:rFonts w:hint="eastAsia" w:ascii="Times New Roman" w:hAnsi="Times New Roman" w:eastAsia="仿宋_GB2312"/>
          <w:color w:val="000000"/>
          <w:sz w:val="30"/>
          <w:szCs w:val="30"/>
          <w:shd w:val="clear" w:color="auto" w:fill="FFFFFF"/>
          <w:lang w:eastAsia="zh-CN"/>
        </w:rPr>
        <w:t>健康</w:t>
      </w:r>
      <w:r>
        <w:rPr>
          <w:rFonts w:hint="eastAsia" w:ascii="Times New Roman" w:hAnsi="Times New Roman" w:eastAsia="仿宋_GB2312"/>
          <w:color w:val="000000"/>
          <w:sz w:val="30"/>
          <w:szCs w:val="30"/>
          <w:shd w:val="clear" w:color="auto" w:fill="FFFFFF"/>
        </w:rPr>
        <w:t>委有关行政许可的受理、发证工作；承担全省卫生资源、医疗服务、社会发展健康指标、病案统计等常规卫生统计工作以及卫生服务等专项调查工作；开展统计分析和相关数据监测；组织开展和推进全省卫生信息化建设；承担委机关电子政务、政务公开、</w:t>
      </w:r>
      <w:r>
        <w:rPr>
          <w:rFonts w:hint="eastAsia" w:ascii="Times New Roman" w:hAnsi="Times New Roman" w:eastAsia="仿宋_GB2312"/>
          <w:color w:val="000000"/>
          <w:sz w:val="30"/>
          <w:szCs w:val="30"/>
          <w:shd w:val="clear" w:color="auto" w:fill="FFFFFF"/>
          <w:lang w:eastAsia="zh-CN"/>
        </w:rPr>
        <w:t>政务</w:t>
      </w:r>
      <w:r>
        <w:rPr>
          <w:rFonts w:hint="eastAsia" w:ascii="Times New Roman" w:hAnsi="Times New Roman" w:eastAsia="仿宋_GB2312"/>
          <w:color w:val="000000"/>
          <w:sz w:val="30"/>
          <w:szCs w:val="30"/>
          <w:shd w:val="clear" w:color="auto" w:fill="FFFFFF"/>
        </w:rPr>
        <w:t>信息公开</w:t>
      </w:r>
      <w:r>
        <w:rPr>
          <w:rFonts w:hint="eastAsia" w:ascii="Times New Roman" w:hAnsi="Times New Roman" w:eastAsia="仿宋_GB2312"/>
          <w:color w:val="000000"/>
          <w:sz w:val="30"/>
          <w:szCs w:val="30"/>
          <w:shd w:val="clear" w:color="auto" w:fill="FFFFFF"/>
          <w:lang w:eastAsia="zh-CN"/>
        </w:rPr>
        <w:t>、政务服务等</w:t>
      </w:r>
      <w:r>
        <w:rPr>
          <w:rFonts w:hint="eastAsia" w:ascii="Times New Roman" w:hAnsi="Times New Roman" w:eastAsia="仿宋_GB2312"/>
          <w:color w:val="000000"/>
          <w:sz w:val="30"/>
          <w:szCs w:val="30"/>
          <w:shd w:val="clear" w:color="auto" w:fill="FFFFFF"/>
        </w:rPr>
        <w:t>工作；承担省卫生</w:t>
      </w:r>
      <w:r>
        <w:rPr>
          <w:rFonts w:hint="eastAsia" w:ascii="Times New Roman" w:hAnsi="Times New Roman" w:eastAsia="仿宋_GB2312"/>
          <w:color w:val="000000"/>
          <w:sz w:val="30"/>
          <w:szCs w:val="30"/>
          <w:shd w:val="clear" w:color="auto" w:fill="FFFFFF"/>
          <w:lang w:eastAsia="zh-CN"/>
        </w:rPr>
        <w:t>健康</w:t>
      </w:r>
      <w:r>
        <w:rPr>
          <w:rFonts w:hint="eastAsia" w:ascii="Times New Roman" w:hAnsi="Times New Roman" w:eastAsia="仿宋_GB2312"/>
          <w:color w:val="000000"/>
          <w:sz w:val="30"/>
          <w:szCs w:val="30"/>
          <w:shd w:val="clear" w:color="auto" w:fill="FFFFFF"/>
        </w:rPr>
        <w:t>委交办的其他工作。</w:t>
      </w:r>
    </w:p>
    <w:p/>
    <w:p/>
    <w:p/>
    <w:p/>
    <w:p/>
    <w:p/>
    <w:p/>
    <w:p/>
    <w:p/>
    <w:p/>
    <w:p/>
    <w:p/>
    <w:p/>
    <w:tbl>
      <w:tblPr>
        <w:tblStyle w:val="3"/>
        <w:tblpPr w:leftFromText="180" w:rightFromText="180" w:vertAnchor="text" w:horzAnchor="page" w:tblpX="1082" w:tblpY="588"/>
        <w:tblOverlap w:val="never"/>
        <w:tblW w:w="93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50"/>
        <w:gridCol w:w="577"/>
        <w:gridCol w:w="116"/>
        <w:gridCol w:w="704"/>
        <w:gridCol w:w="1430"/>
        <w:gridCol w:w="1929"/>
        <w:gridCol w:w="411"/>
        <w:gridCol w:w="60"/>
        <w:gridCol w:w="646"/>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 w:hRule="atLeast"/>
        </w:trPr>
        <w:tc>
          <w:tcPr>
            <w:tcW w:w="9347" w:type="dxa"/>
            <w:gridSpan w:val="10"/>
            <w:vAlign w:val="bottom"/>
          </w:tcPr>
          <w:p>
            <w:pPr>
              <w:numPr>
                <w:ilvl w:val="0"/>
                <w:numId w:val="1"/>
              </w:numPr>
              <w:ind w:left="0" w:leftChars="0" w:firstLine="720" w:firstLineChars="20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   2018年部门决算表</w:t>
            </w:r>
          </w:p>
          <w:p>
            <w:pPr>
              <w:widowControl/>
              <w:jc w:val="center"/>
              <w:textAlignment w:val="bottom"/>
              <w:rPr>
                <w:rFonts w:hint="eastAsia" w:ascii="宋体" w:hAnsi="宋体" w:eastAsia="宋体" w:cs="宋体"/>
                <w:b/>
                <w:i w:val="0"/>
                <w:color w:val="000000"/>
                <w:kern w:val="0"/>
                <w:sz w:val="24"/>
                <w:szCs w:val="24"/>
                <w:u w:val="none"/>
                <w:lang w:val="en-US" w:eastAsia="zh-CN"/>
              </w:rPr>
            </w:pPr>
          </w:p>
          <w:p>
            <w:pPr>
              <w:widowControl/>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 w:hRule="atLeast"/>
        </w:trPr>
        <w:tc>
          <w:tcPr>
            <w:tcW w:w="2943" w:type="dxa"/>
            <w:gridSpan w:val="3"/>
            <w:vAlign w:val="bottom"/>
          </w:tcPr>
          <w:p>
            <w:pPr>
              <w:rPr>
                <w:rFonts w:hint="eastAsia" w:ascii="宋体" w:hAnsi="宋体" w:eastAsia="宋体" w:cs="宋体"/>
                <w:i w:val="0"/>
                <w:color w:val="000000"/>
                <w:sz w:val="18"/>
                <w:szCs w:val="18"/>
                <w:u w:val="none"/>
              </w:rPr>
            </w:pPr>
          </w:p>
        </w:tc>
        <w:tc>
          <w:tcPr>
            <w:tcW w:w="704" w:type="dxa"/>
            <w:vAlign w:val="bottom"/>
          </w:tcPr>
          <w:p>
            <w:pPr>
              <w:rPr>
                <w:rFonts w:hint="eastAsia" w:ascii="宋体" w:hAnsi="宋体" w:eastAsia="宋体" w:cs="宋体"/>
                <w:i w:val="0"/>
                <w:color w:val="000000"/>
                <w:sz w:val="18"/>
                <w:szCs w:val="18"/>
                <w:u w:val="none"/>
              </w:rPr>
            </w:pPr>
          </w:p>
        </w:tc>
        <w:tc>
          <w:tcPr>
            <w:tcW w:w="1430" w:type="dxa"/>
            <w:vAlign w:val="bottom"/>
          </w:tcPr>
          <w:p>
            <w:pPr>
              <w:rPr>
                <w:rFonts w:hint="eastAsia" w:ascii="宋体" w:hAnsi="宋体" w:eastAsia="宋体" w:cs="宋体"/>
                <w:i w:val="0"/>
                <w:color w:val="000000"/>
                <w:sz w:val="18"/>
                <w:szCs w:val="18"/>
                <w:u w:val="none"/>
              </w:rPr>
            </w:pPr>
          </w:p>
        </w:tc>
        <w:tc>
          <w:tcPr>
            <w:tcW w:w="2400" w:type="dxa"/>
            <w:gridSpan w:val="3"/>
            <w:vAlign w:val="bottom"/>
          </w:tcPr>
          <w:p>
            <w:pPr>
              <w:rPr>
                <w:rFonts w:hint="eastAsia" w:ascii="宋体" w:hAnsi="宋体" w:eastAsia="宋体" w:cs="宋体"/>
                <w:i w:val="0"/>
                <w:color w:val="000000"/>
                <w:sz w:val="18"/>
                <w:szCs w:val="18"/>
                <w:u w:val="none"/>
              </w:rPr>
            </w:pPr>
          </w:p>
        </w:tc>
        <w:tc>
          <w:tcPr>
            <w:tcW w:w="646" w:type="dxa"/>
            <w:vAlign w:val="bottom"/>
          </w:tcPr>
          <w:p>
            <w:pPr>
              <w:rPr>
                <w:rFonts w:hint="eastAsia" w:ascii="宋体" w:hAnsi="宋体" w:eastAsia="宋体" w:cs="宋体"/>
                <w:i w:val="0"/>
                <w:color w:val="000000"/>
                <w:sz w:val="18"/>
                <w:szCs w:val="18"/>
                <w:u w:val="none"/>
              </w:rPr>
            </w:pPr>
          </w:p>
        </w:tc>
        <w:tc>
          <w:tcPr>
            <w:tcW w:w="1224" w:type="dxa"/>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trPr>
        <w:tc>
          <w:tcPr>
            <w:tcW w:w="5077" w:type="dxa"/>
            <w:gridSpan w:val="5"/>
            <w:vAlign w:val="bottom"/>
          </w:tcPr>
          <w:p>
            <w:pPr>
              <w:widowControl/>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部门：</w:t>
            </w:r>
            <w:r>
              <w:rPr>
                <w:rFonts w:hint="eastAsia" w:ascii="宋体" w:hAnsi="宋体" w:cs="宋体"/>
                <w:i w:val="0"/>
                <w:color w:val="000000"/>
                <w:kern w:val="0"/>
                <w:sz w:val="18"/>
                <w:szCs w:val="18"/>
                <w:u w:val="none"/>
                <w:lang w:val="en-US" w:eastAsia="zh-CN"/>
              </w:rPr>
              <w:t>省卫生健康委员会</w:t>
            </w:r>
            <w:r>
              <w:rPr>
                <w:rFonts w:hint="eastAsia" w:ascii="宋体" w:hAnsi="宋体" w:eastAsia="宋体" w:cs="宋体"/>
                <w:i w:val="0"/>
                <w:color w:val="000000"/>
                <w:kern w:val="0"/>
                <w:sz w:val="18"/>
                <w:szCs w:val="18"/>
                <w:u w:val="none"/>
                <w:lang w:val="en-US" w:eastAsia="zh-CN"/>
              </w:rPr>
              <w:t>政务服务中心</w:t>
            </w:r>
          </w:p>
        </w:tc>
        <w:tc>
          <w:tcPr>
            <w:tcW w:w="2400" w:type="dxa"/>
            <w:gridSpan w:val="3"/>
            <w:vAlign w:val="bottom"/>
          </w:tcPr>
          <w:p>
            <w:pPr>
              <w:rPr>
                <w:rFonts w:hint="eastAsia" w:ascii="宋体" w:hAnsi="宋体" w:eastAsia="宋体" w:cs="宋体"/>
                <w:i w:val="0"/>
                <w:color w:val="000000"/>
                <w:sz w:val="18"/>
                <w:szCs w:val="18"/>
                <w:u w:val="none"/>
              </w:rPr>
            </w:pPr>
          </w:p>
        </w:tc>
        <w:tc>
          <w:tcPr>
            <w:tcW w:w="646" w:type="dxa"/>
            <w:vAlign w:val="bottom"/>
          </w:tcPr>
          <w:p>
            <w:pPr>
              <w:rPr>
                <w:rFonts w:hint="eastAsia" w:ascii="宋体" w:hAnsi="宋体" w:eastAsia="宋体" w:cs="宋体"/>
                <w:i w:val="0"/>
                <w:color w:val="000000"/>
                <w:sz w:val="18"/>
                <w:szCs w:val="18"/>
                <w:u w:val="none"/>
              </w:rPr>
            </w:pPr>
          </w:p>
        </w:tc>
        <w:tc>
          <w:tcPr>
            <w:tcW w:w="1224" w:type="dxa"/>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507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收入</w:t>
            </w:r>
          </w:p>
        </w:tc>
        <w:tc>
          <w:tcPr>
            <w:tcW w:w="4270" w:type="dxa"/>
            <w:gridSpan w:val="5"/>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w:t>
            </w: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行次</w:t>
            </w:r>
          </w:p>
        </w:tc>
        <w:tc>
          <w:tcPr>
            <w:tcW w:w="2250" w:type="dxa"/>
            <w:gridSpan w:val="3"/>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金额</w:t>
            </w:r>
          </w:p>
        </w:tc>
        <w:tc>
          <w:tcPr>
            <w:tcW w:w="1929"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行次</w:t>
            </w:r>
          </w:p>
        </w:tc>
        <w:tc>
          <w:tcPr>
            <w:tcW w:w="1930" w:type="dxa"/>
            <w:gridSpan w:val="3"/>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栏次</w:t>
            </w:r>
          </w:p>
        </w:tc>
        <w:tc>
          <w:tcPr>
            <w:tcW w:w="577" w:type="dxa"/>
            <w:tcBorders>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2250" w:type="dxa"/>
            <w:gridSpan w:val="3"/>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929"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栏次</w:t>
            </w:r>
          </w:p>
        </w:tc>
        <w:tc>
          <w:tcPr>
            <w:tcW w:w="411" w:type="dxa"/>
            <w:tcBorders>
              <w:bottom w:val="single" w:color="000000" w:sz="4" w:space="0"/>
              <w:right w:val="single" w:color="000000" w:sz="4" w:space="0"/>
            </w:tcBorders>
            <w:shd w:val="clear" w:color="auto" w:fill="FFFFFF"/>
            <w:vAlign w:val="center"/>
          </w:tcPr>
          <w:p>
            <w:pPr>
              <w:jc w:val="center"/>
              <w:rPr>
                <w:sz w:val="18"/>
                <w:szCs w:val="18"/>
              </w:rPr>
            </w:pPr>
          </w:p>
        </w:tc>
        <w:tc>
          <w:tcPr>
            <w:tcW w:w="1930" w:type="dxa"/>
            <w:gridSpan w:val="3"/>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一、财政拨款收入</w:t>
            </w: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225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1,784.45</w:t>
            </w: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一、一般公共服务支出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30</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其中：政府性基金预算财政拨款</w:t>
            </w: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w:t>
            </w:r>
          </w:p>
        </w:tc>
        <w:tc>
          <w:tcPr>
            <w:tcW w:w="225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二、外交支出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31</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二、上级补助收入</w:t>
            </w: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w:t>
            </w:r>
          </w:p>
        </w:tc>
        <w:tc>
          <w:tcPr>
            <w:tcW w:w="225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三、国防支出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32</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三、事业收入</w:t>
            </w: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w:t>
            </w:r>
          </w:p>
        </w:tc>
        <w:tc>
          <w:tcPr>
            <w:tcW w:w="225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188.32</w:t>
            </w: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四、公共安全支出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33</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四、经营收入</w:t>
            </w: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5</w:t>
            </w:r>
          </w:p>
        </w:tc>
        <w:tc>
          <w:tcPr>
            <w:tcW w:w="225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五、教育支出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34</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五、附属单位上缴收入</w:t>
            </w: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6</w:t>
            </w:r>
          </w:p>
        </w:tc>
        <w:tc>
          <w:tcPr>
            <w:tcW w:w="225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六、科学技术支出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35</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六、其他收入</w:t>
            </w: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7</w:t>
            </w:r>
          </w:p>
        </w:tc>
        <w:tc>
          <w:tcPr>
            <w:tcW w:w="225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12.57</w:t>
            </w: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七、文化体育与传媒支出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36</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8</w:t>
            </w:r>
          </w:p>
        </w:tc>
        <w:tc>
          <w:tcPr>
            <w:tcW w:w="2250"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八、社会保障和就业支出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37</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9</w:t>
            </w:r>
          </w:p>
        </w:tc>
        <w:tc>
          <w:tcPr>
            <w:tcW w:w="2250"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九、医疗卫生与计划生育支出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38</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1,780.99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10</w:t>
            </w:r>
          </w:p>
        </w:tc>
        <w:tc>
          <w:tcPr>
            <w:tcW w:w="2250"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十、节能环保支出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39</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11</w:t>
            </w:r>
          </w:p>
        </w:tc>
        <w:tc>
          <w:tcPr>
            <w:tcW w:w="2250"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十一、城乡社区支出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40</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12</w:t>
            </w:r>
          </w:p>
        </w:tc>
        <w:tc>
          <w:tcPr>
            <w:tcW w:w="2250"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十二、农林水支出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41</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13</w:t>
            </w:r>
          </w:p>
        </w:tc>
        <w:tc>
          <w:tcPr>
            <w:tcW w:w="2250"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十三、交通运输支出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42</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14</w:t>
            </w:r>
          </w:p>
        </w:tc>
        <w:tc>
          <w:tcPr>
            <w:tcW w:w="2250"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十四、资源勘探信息等支出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43</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15</w:t>
            </w:r>
          </w:p>
        </w:tc>
        <w:tc>
          <w:tcPr>
            <w:tcW w:w="2250"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十五、商业服务业等支出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44</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16</w:t>
            </w:r>
          </w:p>
        </w:tc>
        <w:tc>
          <w:tcPr>
            <w:tcW w:w="2250"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十六、金融支出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45</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17</w:t>
            </w:r>
          </w:p>
        </w:tc>
        <w:tc>
          <w:tcPr>
            <w:tcW w:w="2250"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十七、援助其他地区支出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46</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18</w:t>
            </w:r>
          </w:p>
        </w:tc>
        <w:tc>
          <w:tcPr>
            <w:tcW w:w="2250"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十八、国土海洋气象等支出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47</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19</w:t>
            </w:r>
          </w:p>
        </w:tc>
        <w:tc>
          <w:tcPr>
            <w:tcW w:w="2250"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十九、住房保障支出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48</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20</w:t>
            </w:r>
          </w:p>
        </w:tc>
        <w:tc>
          <w:tcPr>
            <w:tcW w:w="2250"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二十、粮油物资储备支出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49</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21</w:t>
            </w:r>
          </w:p>
        </w:tc>
        <w:tc>
          <w:tcPr>
            <w:tcW w:w="2250"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二十一、其他支出</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50</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本年收入合计</w:t>
            </w: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22</w:t>
            </w:r>
          </w:p>
        </w:tc>
        <w:tc>
          <w:tcPr>
            <w:tcW w:w="225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1,985.35</w:t>
            </w:r>
          </w:p>
        </w:tc>
        <w:tc>
          <w:tcPr>
            <w:tcW w:w="1929"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本年支出合计</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51</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1,962.86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用事业基金弥补收支差额</w:t>
            </w: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23</w:t>
            </w:r>
          </w:p>
        </w:tc>
        <w:tc>
          <w:tcPr>
            <w:tcW w:w="225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114.64</w:t>
            </w: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结余分配</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52</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年初结转和结余</w:t>
            </w: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24</w:t>
            </w:r>
          </w:p>
        </w:tc>
        <w:tc>
          <w:tcPr>
            <w:tcW w:w="225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69.38</w:t>
            </w: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其中：提取职工福利基金</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53</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其中：项目支出结转和结余</w:t>
            </w: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25</w:t>
            </w:r>
          </w:p>
        </w:tc>
        <w:tc>
          <w:tcPr>
            <w:tcW w:w="225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69.38</w:t>
            </w: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转入事业基金</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54</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26</w:t>
            </w:r>
          </w:p>
        </w:tc>
        <w:tc>
          <w:tcPr>
            <w:tcW w:w="2250"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年末结转和结余</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55</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27</w:t>
            </w:r>
          </w:p>
        </w:tc>
        <w:tc>
          <w:tcPr>
            <w:tcW w:w="2250"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29" w:type="dxa"/>
            <w:tcBorders>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其中：项目支出结转和结余</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56</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28</w:t>
            </w:r>
          </w:p>
        </w:tc>
        <w:tc>
          <w:tcPr>
            <w:tcW w:w="2250"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29" w:type="dxa"/>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57</w:t>
            </w:r>
          </w:p>
        </w:tc>
        <w:tc>
          <w:tcPr>
            <w:tcW w:w="1930" w:type="dxa"/>
            <w:gridSpan w:val="3"/>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50"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总计</w:t>
            </w:r>
          </w:p>
        </w:tc>
        <w:tc>
          <w:tcPr>
            <w:tcW w:w="57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29</w:t>
            </w:r>
          </w:p>
        </w:tc>
        <w:tc>
          <w:tcPr>
            <w:tcW w:w="225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2,169.36</w:t>
            </w:r>
          </w:p>
        </w:tc>
        <w:tc>
          <w:tcPr>
            <w:tcW w:w="1929"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总计</w:t>
            </w:r>
          </w:p>
        </w:tc>
        <w:tc>
          <w:tcPr>
            <w:tcW w:w="411" w:type="dxa"/>
            <w:tcBorders>
              <w:bottom w:val="single" w:color="000000" w:sz="4" w:space="0"/>
              <w:right w:val="single" w:color="000000" w:sz="4" w:space="0"/>
            </w:tcBorders>
            <w:shd w:val="clear" w:color="auto" w:fill="FFFFFF"/>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58</w:t>
            </w:r>
          </w:p>
        </w:tc>
        <w:tc>
          <w:tcPr>
            <w:tcW w:w="1930" w:type="dxa"/>
            <w:gridSpan w:val="3"/>
            <w:tcBorders>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2,169.36</w:t>
            </w:r>
          </w:p>
        </w:tc>
      </w:tr>
    </w:tbl>
    <w:tbl>
      <w:tblPr>
        <w:tblStyle w:val="3"/>
        <w:tblW w:w="8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9"/>
        <w:gridCol w:w="352"/>
        <w:gridCol w:w="367"/>
        <w:gridCol w:w="2645"/>
        <w:gridCol w:w="1015"/>
        <w:gridCol w:w="796"/>
        <w:gridCol w:w="796"/>
        <w:gridCol w:w="739"/>
        <w:gridCol w:w="600"/>
        <w:gridCol w:w="704"/>
        <w:gridCol w:w="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908" w:type="dxa"/>
            <w:gridSpan w:val="11"/>
            <w:vAlign w:val="bottom"/>
          </w:tcPr>
          <w:p>
            <w:pPr>
              <w:widowControl/>
              <w:jc w:val="both"/>
              <w:textAlignment w:val="bottom"/>
              <w:rPr>
                <w:rFonts w:hint="eastAsia" w:ascii="宋体" w:hAnsi="宋体" w:eastAsia="宋体" w:cs="宋体"/>
                <w:i w:val="0"/>
                <w:color w:val="000000"/>
                <w:kern w:val="0"/>
                <w:sz w:val="24"/>
                <w:szCs w:val="24"/>
                <w:u w:val="none"/>
                <w:lang w:val="en-US" w:eastAsia="zh-CN"/>
              </w:rPr>
            </w:pPr>
          </w:p>
          <w:p>
            <w:pPr>
              <w:widowControl/>
              <w:jc w:val="center"/>
              <w:textAlignment w:val="bottom"/>
              <w:rPr>
                <w:rFonts w:hint="eastAsia" w:ascii="宋体" w:hAnsi="宋体" w:eastAsia="宋体" w:cs="宋体"/>
                <w:i w:val="0"/>
                <w:color w:val="000000"/>
                <w:kern w:val="0"/>
                <w:sz w:val="24"/>
                <w:szCs w:val="24"/>
                <w:u w:val="none"/>
                <w:lang w:val="en-US" w:eastAsia="zh-CN"/>
              </w:rPr>
            </w:pPr>
          </w:p>
          <w:p>
            <w:pPr>
              <w:widowControl/>
              <w:jc w:val="center"/>
              <w:textAlignment w:val="bottom"/>
              <w:rPr>
                <w:rFonts w:hint="eastAsia" w:ascii="宋体" w:hAnsi="宋体" w:eastAsia="宋体" w:cs="宋体"/>
                <w:b/>
                <w:bCs/>
                <w:i w:val="0"/>
                <w:color w:val="000000"/>
                <w:kern w:val="0"/>
                <w:sz w:val="24"/>
                <w:szCs w:val="24"/>
                <w:u w:val="none"/>
                <w:lang w:val="en-US" w:eastAsia="zh-CN"/>
              </w:rPr>
            </w:pPr>
          </w:p>
          <w:p>
            <w:pPr>
              <w:widowControl/>
              <w:jc w:val="center"/>
              <w:textAlignment w:val="bottom"/>
              <w:rPr>
                <w:rFonts w:hint="eastAsia" w:ascii="宋体" w:hAnsi="宋体" w:eastAsia="宋体" w:cs="宋体"/>
                <w:b/>
                <w:bCs/>
                <w:i w:val="0"/>
                <w:color w:val="000000"/>
                <w:kern w:val="0"/>
                <w:sz w:val="24"/>
                <w:szCs w:val="24"/>
                <w:u w:val="none"/>
                <w:lang w:val="en-US" w:eastAsia="zh-CN"/>
              </w:rPr>
            </w:pPr>
          </w:p>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29" w:type="dxa"/>
            <w:vAlign w:val="bottom"/>
          </w:tcPr>
          <w:p>
            <w:pPr>
              <w:rPr>
                <w:rFonts w:hint="eastAsia" w:ascii="宋体" w:hAnsi="宋体" w:eastAsia="宋体" w:cs="宋体"/>
                <w:i w:val="0"/>
                <w:color w:val="000000"/>
                <w:sz w:val="18"/>
                <w:szCs w:val="18"/>
                <w:u w:val="none"/>
              </w:rPr>
            </w:pPr>
          </w:p>
        </w:tc>
        <w:tc>
          <w:tcPr>
            <w:tcW w:w="352" w:type="dxa"/>
            <w:vAlign w:val="bottom"/>
          </w:tcPr>
          <w:p>
            <w:pPr>
              <w:rPr>
                <w:rFonts w:hint="eastAsia" w:ascii="宋体" w:hAnsi="宋体" w:eastAsia="宋体" w:cs="宋体"/>
                <w:i w:val="0"/>
                <w:color w:val="000000"/>
                <w:sz w:val="18"/>
                <w:szCs w:val="18"/>
                <w:u w:val="none"/>
              </w:rPr>
            </w:pPr>
          </w:p>
        </w:tc>
        <w:tc>
          <w:tcPr>
            <w:tcW w:w="367" w:type="dxa"/>
            <w:vAlign w:val="bottom"/>
          </w:tcPr>
          <w:p>
            <w:pPr>
              <w:rPr>
                <w:rFonts w:hint="eastAsia" w:ascii="宋体" w:hAnsi="宋体" w:eastAsia="宋体" w:cs="宋体"/>
                <w:i w:val="0"/>
                <w:color w:val="000000"/>
                <w:sz w:val="18"/>
                <w:szCs w:val="18"/>
                <w:u w:val="none"/>
              </w:rPr>
            </w:pPr>
          </w:p>
        </w:tc>
        <w:tc>
          <w:tcPr>
            <w:tcW w:w="2645" w:type="dxa"/>
            <w:vAlign w:val="bottom"/>
          </w:tcPr>
          <w:p>
            <w:pPr>
              <w:rPr>
                <w:rFonts w:hint="eastAsia" w:ascii="宋体" w:hAnsi="宋体" w:eastAsia="宋体" w:cs="宋体"/>
                <w:i w:val="0"/>
                <w:color w:val="000000"/>
                <w:sz w:val="18"/>
                <w:szCs w:val="18"/>
                <w:u w:val="none"/>
              </w:rPr>
            </w:pPr>
          </w:p>
        </w:tc>
        <w:tc>
          <w:tcPr>
            <w:tcW w:w="1015" w:type="dxa"/>
            <w:vAlign w:val="bottom"/>
          </w:tcPr>
          <w:p>
            <w:pPr>
              <w:rPr>
                <w:rFonts w:hint="eastAsia" w:ascii="宋体" w:hAnsi="宋体" w:eastAsia="宋体" w:cs="宋体"/>
                <w:i w:val="0"/>
                <w:color w:val="000000"/>
                <w:sz w:val="18"/>
                <w:szCs w:val="18"/>
                <w:u w:val="none"/>
              </w:rPr>
            </w:pPr>
          </w:p>
        </w:tc>
        <w:tc>
          <w:tcPr>
            <w:tcW w:w="796" w:type="dxa"/>
            <w:vAlign w:val="bottom"/>
          </w:tcPr>
          <w:p>
            <w:pPr>
              <w:rPr>
                <w:rFonts w:hint="eastAsia" w:ascii="宋体" w:hAnsi="宋体" w:eastAsia="宋体" w:cs="宋体"/>
                <w:i w:val="0"/>
                <w:color w:val="000000"/>
                <w:sz w:val="18"/>
                <w:szCs w:val="18"/>
                <w:u w:val="none"/>
              </w:rPr>
            </w:pPr>
          </w:p>
        </w:tc>
        <w:tc>
          <w:tcPr>
            <w:tcW w:w="796" w:type="dxa"/>
            <w:vAlign w:val="bottom"/>
          </w:tcPr>
          <w:p>
            <w:pPr>
              <w:rPr>
                <w:rFonts w:hint="eastAsia" w:ascii="宋体" w:hAnsi="宋体" w:eastAsia="宋体" w:cs="宋体"/>
                <w:i w:val="0"/>
                <w:color w:val="000000"/>
                <w:sz w:val="18"/>
                <w:szCs w:val="18"/>
                <w:u w:val="none"/>
              </w:rPr>
            </w:pPr>
          </w:p>
        </w:tc>
        <w:tc>
          <w:tcPr>
            <w:tcW w:w="739" w:type="dxa"/>
            <w:vAlign w:val="bottom"/>
          </w:tcPr>
          <w:p>
            <w:pPr>
              <w:rPr>
                <w:rFonts w:hint="eastAsia" w:ascii="宋体" w:hAnsi="宋体" w:eastAsia="宋体" w:cs="宋体"/>
                <w:i w:val="0"/>
                <w:color w:val="000000"/>
                <w:sz w:val="18"/>
                <w:szCs w:val="18"/>
                <w:u w:val="none"/>
              </w:rPr>
            </w:pPr>
          </w:p>
        </w:tc>
        <w:tc>
          <w:tcPr>
            <w:tcW w:w="600" w:type="dxa"/>
            <w:vAlign w:val="bottom"/>
          </w:tcPr>
          <w:p>
            <w:pPr>
              <w:rPr>
                <w:rFonts w:hint="eastAsia" w:ascii="宋体" w:hAnsi="宋体" w:eastAsia="宋体" w:cs="宋体"/>
                <w:i w:val="0"/>
                <w:color w:val="000000"/>
                <w:sz w:val="18"/>
                <w:szCs w:val="18"/>
                <w:u w:val="none"/>
              </w:rPr>
            </w:pPr>
          </w:p>
        </w:tc>
        <w:tc>
          <w:tcPr>
            <w:tcW w:w="1269" w:type="dxa"/>
            <w:gridSpan w:val="2"/>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08" w:type="dxa"/>
            <w:gridSpan w:val="5"/>
            <w:vAlign w:val="bottom"/>
          </w:tcPr>
          <w:p>
            <w:pPr>
              <w:widowControl/>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部门：</w:t>
            </w:r>
            <w:r>
              <w:rPr>
                <w:rFonts w:hint="eastAsia" w:ascii="宋体" w:hAnsi="宋体" w:cs="宋体"/>
                <w:i w:val="0"/>
                <w:color w:val="000000"/>
                <w:kern w:val="0"/>
                <w:sz w:val="18"/>
                <w:szCs w:val="18"/>
                <w:u w:val="none"/>
                <w:lang w:val="en-US" w:eastAsia="zh-CN"/>
              </w:rPr>
              <w:t>省卫生健康委员会</w:t>
            </w:r>
            <w:r>
              <w:rPr>
                <w:rFonts w:hint="eastAsia" w:ascii="宋体" w:hAnsi="宋体" w:eastAsia="宋体" w:cs="宋体"/>
                <w:i w:val="0"/>
                <w:color w:val="000000"/>
                <w:kern w:val="0"/>
                <w:sz w:val="18"/>
                <w:szCs w:val="18"/>
                <w:u w:val="none"/>
                <w:lang w:val="en-US" w:eastAsia="zh-CN"/>
              </w:rPr>
              <w:t>政务服务中心</w:t>
            </w:r>
          </w:p>
        </w:tc>
        <w:tc>
          <w:tcPr>
            <w:tcW w:w="796" w:type="dxa"/>
            <w:vAlign w:val="bottom"/>
          </w:tcPr>
          <w:p>
            <w:pPr>
              <w:rPr>
                <w:rFonts w:hint="eastAsia" w:ascii="宋体" w:hAnsi="宋体" w:eastAsia="宋体" w:cs="宋体"/>
                <w:i w:val="0"/>
                <w:color w:val="000000"/>
                <w:sz w:val="18"/>
                <w:szCs w:val="18"/>
                <w:u w:val="none"/>
              </w:rPr>
            </w:pPr>
          </w:p>
        </w:tc>
        <w:tc>
          <w:tcPr>
            <w:tcW w:w="796" w:type="dxa"/>
            <w:vAlign w:val="bottom"/>
          </w:tcPr>
          <w:p>
            <w:pPr>
              <w:rPr>
                <w:rFonts w:hint="eastAsia" w:ascii="宋体" w:hAnsi="宋体" w:eastAsia="宋体" w:cs="宋体"/>
                <w:i w:val="0"/>
                <w:color w:val="000000"/>
                <w:sz w:val="18"/>
                <w:szCs w:val="18"/>
                <w:u w:val="none"/>
              </w:rPr>
            </w:pPr>
          </w:p>
        </w:tc>
        <w:tc>
          <w:tcPr>
            <w:tcW w:w="739" w:type="dxa"/>
            <w:vAlign w:val="bottom"/>
          </w:tcPr>
          <w:p>
            <w:pPr>
              <w:rPr>
                <w:rFonts w:hint="eastAsia" w:ascii="宋体" w:hAnsi="宋体" w:eastAsia="宋体" w:cs="宋体"/>
                <w:i w:val="0"/>
                <w:color w:val="000000"/>
                <w:sz w:val="18"/>
                <w:szCs w:val="18"/>
                <w:u w:val="none"/>
              </w:rPr>
            </w:pPr>
          </w:p>
        </w:tc>
        <w:tc>
          <w:tcPr>
            <w:tcW w:w="600" w:type="dxa"/>
            <w:vAlign w:val="bottom"/>
          </w:tcPr>
          <w:p>
            <w:pPr>
              <w:rPr>
                <w:rFonts w:hint="eastAsia" w:ascii="宋体" w:hAnsi="宋体" w:eastAsia="宋体" w:cs="宋体"/>
                <w:i w:val="0"/>
                <w:color w:val="000000"/>
                <w:sz w:val="18"/>
                <w:szCs w:val="18"/>
                <w:u w:val="none"/>
              </w:rPr>
            </w:pPr>
          </w:p>
        </w:tc>
        <w:tc>
          <w:tcPr>
            <w:tcW w:w="1269" w:type="dxa"/>
            <w:gridSpan w:val="2"/>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48"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科目编码</w:t>
            </w:r>
          </w:p>
        </w:tc>
        <w:tc>
          <w:tcPr>
            <w:tcW w:w="2645"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科目名称</w:t>
            </w:r>
          </w:p>
        </w:tc>
        <w:tc>
          <w:tcPr>
            <w:tcW w:w="1015"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本年收入合计</w:t>
            </w:r>
          </w:p>
        </w:tc>
        <w:tc>
          <w:tcPr>
            <w:tcW w:w="796"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财政拨款收入</w:t>
            </w:r>
          </w:p>
        </w:tc>
        <w:tc>
          <w:tcPr>
            <w:tcW w:w="796"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上级补助收入</w:t>
            </w:r>
          </w:p>
        </w:tc>
        <w:tc>
          <w:tcPr>
            <w:tcW w:w="739"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事业收入</w:t>
            </w:r>
          </w:p>
        </w:tc>
        <w:tc>
          <w:tcPr>
            <w:tcW w:w="600"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经营收入</w:t>
            </w:r>
          </w:p>
        </w:tc>
        <w:tc>
          <w:tcPr>
            <w:tcW w:w="704"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附属单位上缴收入</w:t>
            </w:r>
          </w:p>
        </w:tc>
        <w:tc>
          <w:tcPr>
            <w:tcW w:w="565"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4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64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01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9"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04"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6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4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64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01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9"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04"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6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4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64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01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9"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04"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6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9"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类</w:t>
            </w:r>
          </w:p>
        </w:tc>
        <w:tc>
          <w:tcPr>
            <w:tcW w:w="352"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款</w:t>
            </w:r>
          </w:p>
        </w:tc>
        <w:tc>
          <w:tcPr>
            <w:tcW w:w="367"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w:t>
            </w:r>
          </w:p>
        </w:tc>
        <w:tc>
          <w:tcPr>
            <w:tcW w:w="2645"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栏次</w:t>
            </w:r>
          </w:p>
        </w:tc>
        <w:tc>
          <w:tcPr>
            <w:tcW w:w="1015"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796"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796"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739"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600"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704"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565"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9"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52"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67"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645"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101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rPr>
              <w:t>1,985.35</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rPr>
              <w:t>1,784.45</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rPr>
              <w:t>0.00</w:t>
            </w:r>
          </w:p>
        </w:tc>
        <w:tc>
          <w:tcPr>
            <w:tcW w:w="73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rPr>
              <w:t>188.32</w:t>
            </w:r>
          </w:p>
        </w:tc>
        <w:tc>
          <w:tcPr>
            <w:tcW w:w="60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rPr>
              <w:t>0.00</w:t>
            </w:r>
          </w:p>
        </w:tc>
        <w:tc>
          <w:tcPr>
            <w:tcW w:w="704"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rPr>
              <w:t>0.00</w:t>
            </w:r>
          </w:p>
        </w:tc>
        <w:tc>
          <w:tcPr>
            <w:tcW w:w="56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rPr>
              <w:t>12.57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w:t>
            </w:r>
          </w:p>
        </w:tc>
        <w:tc>
          <w:tcPr>
            <w:tcW w:w="264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社会保障和就业支出</w:t>
            </w:r>
          </w:p>
        </w:tc>
        <w:tc>
          <w:tcPr>
            <w:tcW w:w="101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236.15</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236.15</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3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60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04"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6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w:t>
            </w:r>
          </w:p>
        </w:tc>
        <w:tc>
          <w:tcPr>
            <w:tcW w:w="264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行政事业单位离退休</w:t>
            </w:r>
          </w:p>
        </w:tc>
        <w:tc>
          <w:tcPr>
            <w:tcW w:w="101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236.15</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236.15</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3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60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04"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6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2080502</w:t>
            </w:r>
          </w:p>
        </w:tc>
        <w:tc>
          <w:tcPr>
            <w:tcW w:w="264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事业单位离退休</w:t>
            </w:r>
          </w:p>
        </w:tc>
        <w:tc>
          <w:tcPr>
            <w:tcW w:w="101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80.68</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80.68</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3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60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04"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6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2080599</w:t>
            </w:r>
          </w:p>
        </w:tc>
        <w:tc>
          <w:tcPr>
            <w:tcW w:w="264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其他行政事业单位离退休支出</w:t>
            </w:r>
          </w:p>
        </w:tc>
        <w:tc>
          <w:tcPr>
            <w:tcW w:w="101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155.47</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155.47</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3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60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04"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6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w:t>
            </w:r>
          </w:p>
        </w:tc>
        <w:tc>
          <w:tcPr>
            <w:tcW w:w="264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医疗卫生与计划生育支出</w:t>
            </w:r>
          </w:p>
        </w:tc>
        <w:tc>
          <w:tcPr>
            <w:tcW w:w="101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1,749.20</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1,548.30</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3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188.32</w:t>
            </w:r>
          </w:p>
        </w:tc>
        <w:tc>
          <w:tcPr>
            <w:tcW w:w="60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04"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6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21001</w:t>
            </w:r>
          </w:p>
        </w:tc>
        <w:tc>
          <w:tcPr>
            <w:tcW w:w="264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医疗卫生与计划生育管理事务</w:t>
            </w:r>
          </w:p>
        </w:tc>
        <w:tc>
          <w:tcPr>
            <w:tcW w:w="101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597.26</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396.37</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3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188.32</w:t>
            </w:r>
          </w:p>
        </w:tc>
        <w:tc>
          <w:tcPr>
            <w:tcW w:w="60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04"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6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2100101</w:t>
            </w:r>
          </w:p>
        </w:tc>
        <w:tc>
          <w:tcPr>
            <w:tcW w:w="264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行政运行</w:t>
            </w:r>
          </w:p>
        </w:tc>
        <w:tc>
          <w:tcPr>
            <w:tcW w:w="101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12.00</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12.00</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3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60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04"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6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2100103</w:t>
            </w:r>
          </w:p>
        </w:tc>
        <w:tc>
          <w:tcPr>
            <w:tcW w:w="264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机关服务</w:t>
            </w:r>
          </w:p>
        </w:tc>
        <w:tc>
          <w:tcPr>
            <w:tcW w:w="101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21.80</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21.80</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3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60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04"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6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2100199</w:t>
            </w:r>
          </w:p>
        </w:tc>
        <w:tc>
          <w:tcPr>
            <w:tcW w:w="264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其他医疗卫生与计划生育管理事务支出</w:t>
            </w:r>
          </w:p>
        </w:tc>
        <w:tc>
          <w:tcPr>
            <w:tcW w:w="101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563.46</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362.57</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3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188.32</w:t>
            </w:r>
          </w:p>
        </w:tc>
        <w:tc>
          <w:tcPr>
            <w:tcW w:w="60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04"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6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21006</w:t>
            </w:r>
          </w:p>
        </w:tc>
        <w:tc>
          <w:tcPr>
            <w:tcW w:w="264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中医药</w:t>
            </w:r>
          </w:p>
        </w:tc>
        <w:tc>
          <w:tcPr>
            <w:tcW w:w="101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40.00</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40.00</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3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60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04"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6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2100601</w:t>
            </w:r>
          </w:p>
        </w:tc>
        <w:tc>
          <w:tcPr>
            <w:tcW w:w="264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中医（民族医)药专项</w:t>
            </w:r>
          </w:p>
        </w:tc>
        <w:tc>
          <w:tcPr>
            <w:tcW w:w="101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40.00</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40.00</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3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60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04"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6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21007</w:t>
            </w:r>
          </w:p>
        </w:tc>
        <w:tc>
          <w:tcPr>
            <w:tcW w:w="264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计划生育事务</w:t>
            </w:r>
          </w:p>
        </w:tc>
        <w:tc>
          <w:tcPr>
            <w:tcW w:w="101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920.00</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920.00</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73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60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704"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56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2100799</w:t>
            </w:r>
          </w:p>
        </w:tc>
        <w:tc>
          <w:tcPr>
            <w:tcW w:w="264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其他计划生育事务支出</w:t>
            </w:r>
          </w:p>
        </w:tc>
        <w:tc>
          <w:tcPr>
            <w:tcW w:w="101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920.00</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920.00</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73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60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704"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56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w:t>
            </w:r>
          </w:p>
        </w:tc>
        <w:tc>
          <w:tcPr>
            <w:tcW w:w="264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行政事业单位医疗</w:t>
            </w:r>
          </w:p>
        </w:tc>
        <w:tc>
          <w:tcPr>
            <w:tcW w:w="101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3.53</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3.53</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3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60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04"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6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2101199</w:t>
            </w:r>
          </w:p>
        </w:tc>
        <w:tc>
          <w:tcPr>
            <w:tcW w:w="264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其他行政事业单位医疗支出</w:t>
            </w:r>
          </w:p>
        </w:tc>
        <w:tc>
          <w:tcPr>
            <w:tcW w:w="101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3.53</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3.53</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3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60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04"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6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21099</w:t>
            </w:r>
          </w:p>
        </w:tc>
        <w:tc>
          <w:tcPr>
            <w:tcW w:w="264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其他医疗卫生与计划生育支出</w:t>
            </w:r>
          </w:p>
        </w:tc>
        <w:tc>
          <w:tcPr>
            <w:tcW w:w="101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188.40</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188.40</w:t>
            </w:r>
          </w:p>
        </w:tc>
        <w:tc>
          <w:tcPr>
            <w:tcW w:w="79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3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60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04"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6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08" w:type="dxa"/>
            <w:gridSpan w:val="11"/>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08" w:type="dxa"/>
            <w:gridSpan w:val="11"/>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p>
        </w:tc>
      </w:tr>
    </w:tbl>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tbl>
      <w:tblPr>
        <w:tblStyle w:val="3"/>
        <w:tblW w:w="89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9"/>
        <w:gridCol w:w="439"/>
        <w:gridCol w:w="250"/>
        <w:gridCol w:w="2700"/>
        <w:gridCol w:w="1075"/>
        <w:gridCol w:w="838"/>
        <w:gridCol w:w="850"/>
        <w:gridCol w:w="825"/>
        <w:gridCol w:w="762"/>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956" w:type="dxa"/>
            <w:gridSpan w:val="10"/>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29" w:type="dxa"/>
            <w:vAlign w:val="bottom"/>
          </w:tcPr>
          <w:p>
            <w:pPr>
              <w:rPr>
                <w:rFonts w:hint="eastAsia" w:ascii="宋体" w:hAnsi="宋体" w:eastAsia="宋体" w:cs="宋体"/>
                <w:i w:val="0"/>
                <w:color w:val="000000"/>
                <w:sz w:val="18"/>
                <w:szCs w:val="18"/>
                <w:u w:val="none"/>
              </w:rPr>
            </w:pPr>
          </w:p>
        </w:tc>
        <w:tc>
          <w:tcPr>
            <w:tcW w:w="439" w:type="dxa"/>
            <w:vAlign w:val="bottom"/>
          </w:tcPr>
          <w:p>
            <w:pPr>
              <w:rPr>
                <w:rFonts w:hint="eastAsia" w:ascii="宋体" w:hAnsi="宋体" w:eastAsia="宋体" w:cs="宋体"/>
                <w:i w:val="0"/>
                <w:color w:val="000000"/>
                <w:sz w:val="18"/>
                <w:szCs w:val="18"/>
                <w:u w:val="none"/>
              </w:rPr>
            </w:pPr>
          </w:p>
        </w:tc>
        <w:tc>
          <w:tcPr>
            <w:tcW w:w="250" w:type="dxa"/>
            <w:vAlign w:val="bottom"/>
          </w:tcPr>
          <w:p>
            <w:pPr>
              <w:rPr>
                <w:rFonts w:hint="eastAsia" w:ascii="宋体" w:hAnsi="宋体" w:eastAsia="宋体" w:cs="宋体"/>
                <w:i w:val="0"/>
                <w:color w:val="000000"/>
                <w:sz w:val="18"/>
                <w:szCs w:val="18"/>
                <w:u w:val="none"/>
              </w:rPr>
            </w:pPr>
          </w:p>
        </w:tc>
        <w:tc>
          <w:tcPr>
            <w:tcW w:w="2700" w:type="dxa"/>
            <w:vAlign w:val="bottom"/>
          </w:tcPr>
          <w:p>
            <w:pPr>
              <w:rPr>
                <w:rFonts w:hint="eastAsia" w:ascii="宋体" w:hAnsi="宋体" w:eastAsia="宋体" w:cs="宋体"/>
                <w:i w:val="0"/>
                <w:color w:val="000000"/>
                <w:sz w:val="18"/>
                <w:szCs w:val="18"/>
                <w:u w:val="none"/>
              </w:rPr>
            </w:pPr>
          </w:p>
        </w:tc>
        <w:tc>
          <w:tcPr>
            <w:tcW w:w="1075" w:type="dxa"/>
            <w:vAlign w:val="bottom"/>
          </w:tcPr>
          <w:p>
            <w:pPr>
              <w:rPr>
                <w:rFonts w:hint="eastAsia" w:ascii="宋体" w:hAnsi="宋体" w:eastAsia="宋体" w:cs="宋体"/>
                <w:i w:val="0"/>
                <w:color w:val="000000"/>
                <w:sz w:val="18"/>
                <w:szCs w:val="18"/>
                <w:u w:val="none"/>
              </w:rPr>
            </w:pPr>
          </w:p>
        </w:tc>
        <w:tc>
          <w:tcPr>
            <w:tcW w:w="838" w:type="dxa"/>
            <w:vAlign w:val="bottom"/>
          </w:tcPr>
          <w:p>
            <w:pPr>
              <w:rPr>
                <w:rFonts w:hint="eastAsia" w:ascii="宋体" w:hAnsi="宋体" w:eastAsia="宋体" w:cs="宋体"/>
                <w:i w:val="0"/>
                <w:color w:val="000000"/>
                <w:sz w:val="18"/>
                <w:szCs w:val="18"/>
                <w:u w:val="none"/>
              </w:rPr>
            </w:pPr>
          </w:p>
        </w:tc>
        <w:tc>
          <w:tcPr>
            <w:tcW w:w="850" w:type="dxa"/>
            <w:vAlign w:val="bottom"/>
          </w:tcPr>
          <w:p>
            <w:pPr>
              <w:rPr>
                <w:rFonts w:hint="eastAsia" w:ascii="宋体" w:hAnsi="宋体" w:eastAsia="宋体" w:cs="宋体"/>
                <w:i w:val="0"/>
                <w:color w:val="000000"/>
                <w:sz w:val="18"/>
                <w:szCs w:val="18"/>
                <w:u w:val="none"/>
              </w:rPr>
            </w:pPr>
          </w:p>
        </w:tc>
        <w:tc>
          <w:tcPr>
            <w:tcW w:w="825" w:type="dxa"/>
            <w:vAlign w:val="bottom"/>
          </w:tcPr>
          <w:p>
            <w:pPr>
              <w:rPr>
                <w:rFonts w:hint="eastAsia" w:ascii="宋体" w:hAnsi="宋体" w:eastAsia="宋体" w:cs="宋体"/>
                <w:i w:val="0"/>
                <w:color w:val="000000"/>
                <w:sz w:val="18"/>
                <w:szCs w:val="18"/>
                <w:u w:val="none"/>
              </w:rPr>
            </w:pPr>
          </w:p>
        </w:tc>
        <w:tc>
          <w:tcPr>
            <w:tcW w:w="1650" w:type="dxa"/>
            <w:gridSpan w:val="2"/>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93" w:type="dxa"/>
            <w:gridSpan w:val="5"/>
            <w:vAlign w:val="bottom"/>
          </w:tcPr>
          <w:p>
            <w:pPr>
              <w:widowControl/>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部门：</w:t>
            </w:r>
            <w:r>
              <w:rPr>
                <w:rFonts w:hint="eastAsia" w:ascii="宋体" w:hAnsi="宋体" w:cs="宋体"/>
                <w:i w:val="0"/>
                <w:color w:val="000000"/>
                <w:kern w:val="0"/>
                <w:sz w:val="18"/>
                <w:szCs w:val="18"/>
                <w:u w:val="none"/>
                <w:lang w:val="en-US" w:eastAsia="zh-CN"/>
              </w:rPr>
              <w:t>省卫生健康委员会</w:t>
            </w:r>
            <w:r>
              <w:rPr>
                <w:rFonts w:hint="eastAsia" w:ascii="宋体" w:hAnsi="宋体" w:eastAsia="宋体" w:cs="宋体"/>
                <w:i w:val="0"/>
                <w:color w:val="000000"/>
                <w:kern w:val="0"/>
                <w:sz w:val="18"/>
                <w:szCs w:val="18"/>
                <w:u w:val="none"/>
                <w:lang w:val="en-US" w:eastAsia="zh-CN"/>
              </w:rPr>
              <w:t>政务服务中心</w:t>
            </w:r>
          </w:p>
        </w:tc>
        <w:tc>
          <w:tcPr>
            <w:tcW w:w="838" w:type="dxa"/>
            <w:vAlign w:val="bottom"/>
          </w:tcPr>
          <w:p>
            <w:pPr>
              <w:rPr>
                <w:rFonts w:hint="eastAsia" w:ascii="宋体" w:hAnsi="宋体" w:eastAsia="宋体" w:cs="宋体"/>
                <w:i w:val="0"/>
                <w:color w:val="000000"/>
                <w:sz w:val="18"/>
                <w:szCs w:val="18"/>
                <w:u w:val="none"/>
              </w:rPr>
            </w:pPr>
          </w:p>
        </w:tc>
        <w:tc>
          <w:tcPr>
            <w:tcW w:w="850" w:type="dxa"/>
            <w:vAlign w:val="bottom"/>
          </w:tcPr>
          <w:p>
            <w:pPr>
              <w:rPr>
                <w:rFonts w:hint="eastAsia" w:ascii="宋体" w:hAnsi="宋体" w:eastAsia="宋体" w:cs="宋体"/>
                <w:i w:val="0"/>
                <w:color w:val="000000"/>
                <w:sz w:val="18"/>
                <w:szCs w:val="18"/>
                <w:u w:val="none"/>
              </w:rPr>
            </w:pPr>
          </w:p>
        </w:tc>
        <w:tc>
          <w:tcPr>
            <w:tcW w:w="825" w:type="dxa"/>
            <w:vAlign w:val="bottom"/>
          </w:tcPr>
          <w:p>
            <w:pPr>
              <w:rPr>
                <w:rFonts w:hint="eastAsia" w:ascii="宋体" w:hAnsi="宋体" w:eastAsia="宋体" w:cs="宋体"/>
                <w:i w:val="0"/>
                <w:color w:val="000000"/>
                <w:sz w:val="18"/>
                <w:szCs w:val="18"/>
                <w:u w:val="none"/>
              </w:rPr>
            </w:pPr>
          </w:p>
        </w:tc>
        <w:tc>
          <w:tcPr>
            <w:tcW w:w="1650" w:type="dxa"/>
            <w:gridSpan w:val="2"/>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18"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科目编码</w:t>
            </w:r>
          </w:p>
        </w:tc>
        <w:tc>
          <w:tcPr>
            <w:tcW w:w="2700"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科目名称</w:t>
            </w:r>
          </w:p>
        </w:tc>
        <w:tc>
          <w:tcPr>
            <w:tcW w:w="1075"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本年支出</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838"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基本支出</w:t>
            </w:r>
          </w:p>
        </w:tc>
        <w:tc>
          <w:tcPr>
            <w:tcW w:w="850"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项目支出</w:t>
            </w:r>
          </w:p>
        </w:tc>
        <w:tc>
          <w:tcPr>
            <w:tcW w:w="825"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上缴上级支出</w:t>
            </w:r>
          </w:p>
        </w:tc>
        <w:tc>
          <w:tcPr>
            <w:tcW w:w="762"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经营支出</w:t>
            </w:r>
          </w:p>
        </w:tc>
        <w:tc>
          <w:tcPr>
            <w:tcW w:w="888"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1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70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07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38"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88"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1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70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07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38"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88"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1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70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07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38"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88"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9"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类</w:t>
            </w:r>
          </w:p>
        </w:tc>
        <w:tc>
          <w:tcPr>
            <w:tcW w:w="439"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款</w:t>
            </w:r>
          </w:p>
        </w:tc>
        <w:tc>
          <w:tcPr>
            <w:tcW w:w="250"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w:t>
            </w:r>
          </w:p>
        </w:tc>
        <w:tc>
          <w:tcPr>
            <w:tcW w:w="2700"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栏次</w:t>
            </w:r>
          </w:p>
        </w:tc>
        <w:tc>
          <w:tcPr>
            <w:tcW w:w="1075"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838"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850"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825"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762"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888"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9"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9"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50"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700"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107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rPr>
              <w:t>1,962.86</w:t>
            </w:r>
          </w:p>
        </w:tc>
        <w:tc>
          <w:tcPr>
            <w:tcW w:w="83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rPr>
              <w:t>710.86</w:t>
            </w:r>
          </w:p>
        </w:tc>
        <w:tc>
          <w:tcPr>
            <w:tcW w:w="85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rPr>
              <w:t>1,251.99</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rPr>
              <w:t>0.00</w:t>
            </w:r>
          </w:p>
        </w:tc>
        <w:tc>
          <w:tcPr>
            <w:tcW w:w="76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rPr>
              <w:t>0.00</w:t>
            </w:r>
          </w:p>
        </w:tc>
        <w:tc>
          <w:tcPr>
            <w:tcW w:w="88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w:t>
            </w:r>
          </w:p>
        </w:tc>
        <w:tc>
          <w:tcPr>
            <w:tcW w:w="2700"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社会保障和就业支出</w:t>
            </w:r>
          </w:p>
        </w:tc>
        <w:tc>
          <w:tcPr>
            <w:tcW w:w="107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181.87</w:t>
            </w:r>
          </w:p>
        </w:tc>
        <w:tc>
          <w:tcPr>
            <w:tcW w:w="83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181.87</w:t>
            </w:r>
          </w:p>
        </w:tc>
        <w:tc>
          <w:tcPr>
            <w:tcW w:w="85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6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8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w:t>
            </w:r>
          </w:p>
        </w:tc>
        <w:tc>
          <w:tcPr>
            <w:tcW w:w="2700"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行政事业单位离退休</w:t>
            </w:r>
          </w:p>
        </w:tc>
        <w:tc>
          <w:tcPr>
            <w:tcW w:w="107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181.87</w:t>
            </w:r>
          </w:p>
        </w:tc>
        <w:tc>
          <w:tcPr>
            <w:tcW w:w="83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181.87</w:t>
            </w:r>
          </w:p>
        </w:tc>
        <w:tc>
          <w:tcPr>
            <w:tcW w:w="85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6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8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2080502</w:t>
            </w:r>
          </w:p>
        </w:tc>
        <w:tc>
          <w:tcPr>
            <w:tcW w:w="2700"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事业单位离退休</w:t>
            </w:r>
          </w:p>
        </w:tc>
        <w:tc>
          <w:tcPr>
            <w:tcW w:w="107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80.68</w:t>
            </w:r>
          </w:p>
        </w:tc>
        <w:tc>
          <w:tcPr>
            <w:tcW w:w="83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80.68</w:t>
            </w:r>
          </w:p>
        </w:tc>
        <w:tc>
          <w:tcPr>
            <w:tcW w:w="85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6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8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2080599</w:t>
            </w:r>
          </w:p>
        </w:tc>
        <w:tc>
          <w:tcPr>
            <w:tcW w:w="2700"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其他行政事业单位离退休支出</w:t>
            </w:r>
          </w:p>
        </w:tc>
        <w:tc>
          <w:tcPr>
            <w:tcW w:w="107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101.19</w:t>
            </w:r>
          </w:p>
        </w:tc>
        <w:tc>
          <w:tcPr>
            <w:tcW w:w="83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101.19</w:t>
            </w:r>
          </w:p>
        </w:tc>
        <w:tc>
          <w:tcPr>
            <w:tcW w:w="85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6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8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w:t>
            </w:r>
          </w:p>
        </w:tc>
        <w:tc>
          <w:tcPr>
            <w:tcW w:w="2700"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医疗卫生与计划生育支出</w:t>
            </w:r>
          </w:p>
        </w:tc>
        <w:tc>
          <w:tcPr>
            <w:tcW w:w="107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1,780.99</w:t>
            </w:r>
          </w:p>
        </w:tc>
        <w:tc>
          <w:tcPr>
            <w:tcW w:w="83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529.00</w:t>
            </w:r>
          </w:p>
        </w:tc>
        <w:tc>
          <w:tcPr>
            <w:tcW w:w="85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1,251.99</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6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8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21001</w:t>
            </w:r>
          </w:p>
        </w:tc>
        <w:tc>
          <w:tcPr>
            <w:tcW w:w="2700"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医疗卫生与计划生育管理事务</w:t>
            </w:r>
          </w:p>
        </w:tc>
        <w:tc>
          <w:tcPr>
            <w:tcW w:w="107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653.51</w:t>
            </w:r>
          </w:p>
        </w:tc>
        <w:tc>
          <w:tcPr>
            <w:tcW w:w="83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529.00</w:t>
            </w:r>
          </w:p>
        </w:tc>
        <w:tc>
          <w:tcPr>
            <w:tcW w:w="85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124.52</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6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8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2100101</w:t>
            </w:r>
          </w:p>
        </w:tc>
        <w:tc>
          <w:tcPr>
            <w:tcW w:w="2700"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行政运行</w:t>
            </w:r>
          </w:p>
        </w:tc>
        <w:tc>
          <w:tcPr>
            <w:tcW w:w="107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12.00</w:t>
            </w:r>
          </w:p>
        </w:tc>
        <w:tc>
          <w:tcPr>
            <w:tcW w:w="83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12.00</w:t>
            </w:r>
          </w:p>
        </w:tc>
        <w:tc>
          <w:tcPr>
            <w:tcW w:w="85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6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8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2100103</w:t>
            </w:r>
          </w:p>
        </w:tc>
        <w:tc>
          <w:tcPr>
            <w:tcW w:w="2700"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机关服务</w:t>
            </w:r>
          </w:p>
        </w:tc>
        <w:tc>
          <w:tcPr>
            <w:tcW w:w="107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21.80</w:t>
            </w:r>
          </w:p>
        </w:tc>
        <w:tc>
          <w:tcPr>
            <w:tcW w:w="83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21.80</w:t>
            </w:r>
          </w:p>
        </w:tc>
        <w:tc>
          <w:tcPr>
            <w:tcW w:w="85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6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8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2100199</w:t>
            </w:r>
          </w:p>
        </w:tc>
        <w:tc>
          <w:tcPr>
            <w:tcW w:w="2700"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其他医疗卫生与计划生育管理事务支出</w:t>
            </w:r>
          </w:p>
        </w:tc>
        <w:tc>
          <w:tcPr>
            <w:tcW w:w="107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619.71</w:t>
            </w:r>
          </w:p>
        </w:tc>
        <w:tc>
          <w:tcPr>
            <w:tcW w:w="83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495.20</w:t>
            </w:r>
          </w:p>
        </w:tc>
        <w:tc>
          <w:tcPr>
            <w:tcW w:w="85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124.52</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6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8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21002</w:t>
            </w:r>
          </w:p>
        </w:tc>
        <w:tc>
          <w:tcPr>
            <w:tcW w:w="2700"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公立医院</w:t>
            </w:r>
          </w:p>
        </w:tc>
        <w:tc>
          <w:tcPr>
            <w:tcW w:w="107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0.95</w:t>
            </w:r>
          </w:p>
        </w:tc>
        <w:tc>
          <w:tcPr>
            <w:tcW w:w="83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5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0.95</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6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8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2100299</w:t>
            </w:r>
          </w:p>
        </w:tc>
        <w:tc>
          <w:tcPr>
            <w:tcW w:w="2700"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其他公立医院支出</w:t>
            </w:r>
          </w:p>
        </w:tc>
        <w:tc>
          <w:tcPr>
            <w:tcW w:w="107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0.95</w:t>
            </w:r>
          </w:p>
        </w:tc>
        <w:tc>
          <w:tcPr>
            <w:tcW w:w="83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5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0.95</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6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8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21006</w:t>
            </w:r>
          </w:p>
        </w:tc>
        <w:tc>
          <w:tcPr>
            <w:tcW w:w="2700"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中医药</w:t>
            </w:r>
          </w:p>
        </w:tc>
        <w:tc>
          <w:tcPr>
            <w:tcW w:w="107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40.00</w:t>
            </w:r>
          </w:p>
        </w:tc>
        <w:tc>
          <w:tcPr>
            <w:tcW w:w="83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5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40.00</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6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8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2100601</w:t>
            </w:r>
          </w:p>
        </w:tc>
        <w:tc>
          <w:tcPr>
            <w:tcW w:w="2700"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中医（民族医)药专项</w:t>
            </w:r>
          </w:p>
        </w:tc>
        <w:tc>
          <w:tcPr>
            <w:tcW w:w="107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40.00</w:t>
            </w:r>
          </w:p>
        </w:tc>
        <w:tc>
          <w:tcPr>
            <w:tcW w:w="83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5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40.00</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6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8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21007</w:t>
            </w:r>
          </w:p>
        </w:tc>
        <w:tc>
          <w:tcPr>
            <w:tcW w:w="2700"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计划生育事务</w:t>
            </w:r>
          </w:p>
        </w:tc>
        <w:tc>
          <w:tcPr>
            <w:tcW w:w="107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914.00</w:t>
            </w:r>
          </w:p>
        </w:tc>
        <w:tc>
          <w:tcPr>
            <w:tcW w:w="83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85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914.00</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76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88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2100799</w:t>
            </w:r>
          </w:p>
        </w:tc>
        <w:tc>
          <w:tcPr>
            <w:tcW w:w="2700"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其他计划生育事务支出</w:t>
            </w:r>
          </w:p>
        </w:tc>
        <w:tc>
          <w:tcPr>
            <w:tcW w:w="107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914.00</w:t>
            </w:r>
          </w:p>
        </w:tc>
        <w:tc>
          <w:tcPr>
            <w:tcW w:w="83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85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914.00</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76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88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21011</w:t>
            </w:r>
          </w:p>
        </w:tc>
        <w:tc>
          <w:tcPr>
            <w:tcW w:w="2700"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行政事业单位医疗</w:t>
            </w:r>
          </w:p>
        </w:tc>
        <w:tc>
          <w:tcPr>
            <w:tcW w:w="107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3.25</w:t>
            </w:r>
          </w:p>
        </w:tc>
        <w:tc>
          <w:tcPr>
            <w:tcW w:w="83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85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3.25</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76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88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2101199</w:t>
            </w:r>
          </w:p>
        </w:tc>
        <w:tc>
          <w:tcPr>
            <w:tcW w:w="2700"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其他行政事业单位医疗支出</w:t>
            </w:r>
          </w:p>
        </w:tc>
        <w:tc>
          <w:tcPr>
            <w:tcW w:w="107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3.25</w:t>
            </w:r>
          </w:p>
        </w:tc>
        <w:tc>
          <w:tcPr>
            <w:tcW w:w="83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85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3.25</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76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88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21099</w:t>
            </w:r>
          </w:p>
        </w:tc>
        <w:tc>
          <w:tcPr>
            <w:tcW w:w="2700"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其他医疗卫生与计划生育支出</w:t>
            </w:r>
          </w:p>
        </w:tc>
        <w:tc>
          <w:tcPr>
            <w:tcW w:w="107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169.28</w:t>
            </w:r>
          </w:p>
        </w:tc>
        <w:tc>
          <w:tcPr>
            <w:tcW w:w="83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50"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169.28</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76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888"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56" w:type="dxa"/>
            <w:gridSpan w:val="1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注：本表反映部门本年度各项支出情况。</w:t>
            </w:r>
          </w:p>
        </w:tc>
      </w:tr>
    </w:tbl>
    <w:p>
      <w:pPr>
        <w:numPr>
          <w:ilvl w:val="0"/>
          <w:numId w:val="0"/>
        </w:numPr>
        <w:ind w:leftChars="200"/>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tbl>
      <w:tblPr>
        <w:tblStyle w:val="3"/>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25"/>
        <w:gridCol w:w="425"/>
        <w:gridCol w:w="825"/>
        <w:gridCol w:w="2112"/>
        <w:gridCol w:w="475"/>
        <w:gridCol w:w="294"/>
        <w:gridCol w:w="694"/>
        <w:gridCol w:w="118"/>
        <w:gridCol w:w="807"/>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856" w:type="dxa"/>
            <w:gridSpan w:val="10"/>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trPr>
        <w:tc>
          <w:tcPr>
            <w:tcW w:w="2125" w:type="dxa"/>
            <w:vAlign w:val="bottom"/>
          </w:tcPr>
          <w:p>
            <w:pPr>
              <w:rPr>
                <w:rFonts w:hint="eastAsia" w:ascii="宋体" w:hAnsi="宋体" w:eastAsia="宋体" w:cs="宋体"/>
                <w:i w:val="0"/>
                <w:color w:val="000000"/>
                <w:sz w:val="18"/>
                <w:szCs w:val="18"/>
                <w:u w:val="none"/>
              </w:rPr>
            </w:pPr>
          </w:p>
        </w:tc>
        <w:tc>
          <w:tcPr>
            <w:tcW w:w="425" w:type="dxa"/>
            <w:vAlign w:val="bottom"/>
          </w:tcPr>
          <w:p>
            <w:pPr>
              <w:rPr>
                <w:rFonts w:hint="eastAsia" w:ascii="宋体" w:hAnsi="宋体" w:eastAsia="宋体" w:cs="宋体"/>
                <w:i w:val="0"/>
                <w:color w:val="000000"/>
                <w:sz w:val="18"/>
                <w:szCs w:val="18"/>
                <w:u w:val="none"/>
              </w:rPr>
            </w:pPr>
          </w:p>
        </w:tc>
        <w:tc>
          <w:tcPr>
            <w:tcW w:w="825" w:type="dxa"/>
            <w:vAlign w:val="bottom"/>
          </w:tcPr>
          <w:p>
            <w:pPr>
              <w:rPr>
                <w:rFonts w:hint="eastAsia" w:ascii="宋体" w:hAnsi="宋体" w:eastAsia="宋体" w:cs="宋体"/>
                <w:i w:val="0"/>
                <w:color w:val="000000"/>
                <w:sz w:val="18"/>
                <w:szCs w:val="18"/>
                <w:u w:val="none"/>
              </w:rPr>
            </w:pPr>
          </w:p>
        </w:tc>
        <w:tc>
          <w:tcPr>
            <w:tcW w:w="2587" w:type="dxa"/>
            <w:gridSpan w:val="2"/>
            <w:vAlign w:val="bottom"/>
          </w:tcPr>
          <w:p>
            <w:pPr>
              <w:rPr>
                <w:rFonts w:hint="eastAsia" w:ascii="宋体" w:hAnsi="宋体" w:eastAsia="宋体" w:cs="宋体"/>
                <w:i w:val="0"/>
                <w:color w:val="000000"/>
                <w:sz w:val="18"/>
                <w:szCs w:val="18"/>
                <w:u w:val="none"/>
              </w:rPr>
            </w:pPr>
          </w:p>
        </w:tc>
        <w:tc>
          <w:tcPr>
            <w:tcW w:w="294" w:type="dxa"/>
            <w:vAlign w:val="bottom"/>
          </w:tcPr>
          <w:p>
            <w:pPr>
              <w:rPr>
                <w:rFonts w:hint="eastAsia" w:ascii="宋体" w:hAnsi="宋体" w:eastAsia="宋体" w:cs="宋体"/>
                <w:i w:val="0"/>
                <w:color w:val="000000"/>
                <w:sz w:val="18"/>
                <w:szCs w:val="18"/>
                <w:u w:val="none"/>
              </w:rPr>
            </w:pPr>
          </w:p>
        </w:tc>
        <w:tc>
          <w:tcPr>
            <w:tcW w:w="812" w:type="dxa"/>
            <w:gridSpan w:val="2"/>
            <w:vAlign w:val="bottom"/>
          </w:tcPr>
          <w:p>
            <w:pPr>
              <w:rPr>
                <w:rFonts w:hint="eastAsia" w:ascii="宋体" w:hAnsi="宋体" w:eastAsia="宋体" w:cs="宋体"/>
                <w:i w:val="0"/>
                <w:color w:val="000000"/>
                <w:sz w:val="18"/>
                <w:szCs w:val="18"/>
                <w:u w:val="none"/>
              </w:rPr>
            </w:pPr>
          </w:p>
        </w:tc>
        <w:tc>
          <w:tcPr>
            <w:tcW w:w="1788" w:type="dxa"/>
            <w:gridSpan w:val="2"/>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trPr>
        <w:tc>
          <w:tcPr>
            <w:tcW w:w="3375" w:type="dxa"/>
            <w:gridSpan w:val="3"/>
            <w:vAlign w:val="bottom"/>
          </w:tcPr>
          <w:p>
            <w:pPr>
              <w:widowControl/>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部门：</w:t>
            </w:r>
            <w:r>
              <w:rPr>
                <w:rFonts w:hint="eastAsia" w:ascii="宋体" w:hAnsi="宋体" w:cs="宋体"/>
                <w:i w:val="0"/>
                <w:color w:val="000000"/>
                <w:kern w:val="0"/>
                <w:sz w:val="18"/>
                <w:szCs w:val="18"/>
                <w:u w:val="none"/>
                <w:lang w:val="en-US" w:eastAsia="zh-CN"/>
              </w:rPr>
              <w:t>省卫生健康委员会</w:t>
            </w:r>
            <w:r>
              <w:rPr>
                <w:rFonts w:hint="eastAsia" w:ascii="宋体" w:hAnsi="宋体" w:eastAsia="宋体" w:cs="宋体"/>
                <w:i w:val="0"/>
                <w:color w:val="000000"/>
                <w:kern w:val="0"/>
                <w:sz w:val="18"/>
                <w:szCs w:val="18"/>
                <w:u w:val="none"/>
                <w:lang w:val="en-US" w:eastAsia="zh-CN"/>
              </w:rPr>
              <w:t>政务服务中心</w:t>
            </w:r>
          </w:p>
        </w:tc>
        <w:tc>
          <w:tcPr>
            <w:tcW w:w="2587" w:type="dxa"/>
            <w:gridSpan w:val="2"/>
            <w:vAlign w:val="bottom"/>
          </w:tcPr>
          <w:p>
            <w:pPr>
              <w:rPr>
                <w:rFonts w:hint="eastAsia" w:ascii="宋体" w:hAnsi="宋体" w:eastAsia="宋体" w:cs="宋体"/>
                <w:i w:val="0"/>
                <w:color w:val="000000"/>
                <w:sz w:val="18"/>
                <w:szCs w:val="18"/>
                <w:u w:val="none"/>
              </w:rPr>
            </w:pPr>
          </w:p>
        </w:tc>
        <w:tc>
          <w:tcPr>
            <w:tcW w:w="294" w:type="dxa"/>
            <w:vAlign w:val="bottom"/>
          </w:tcPr>
          <w:p>
            <w:pPr>
              <w:rPr>
                <w:rFonts w:hint="eastAsia" w:ascii="宋体" w:hAnsi="宋体" w:eastAsia="宋体" w:cs="宋体"/>
                <w:i w:val="0"/>
                <w:color w:val="000000"/>
                <w:sz w:val="18"/>
                <w:szCs w:val="18"/>
                <w:u w:val="none"/>
              </w:rPr>
            </w:pPr>
          </w:p>
        </w:tc>
        <w:tc>
          <w:tcPr>
            <w:tcW w:w="812" w:type="dxa"/>
            <w:gridSpan w:val="2"/>
            <w:vAlign w:val="bottom"/>
          </w:tcPr>
          <w:p>
            <w:pPr>
              <w:rPr>
                <w:rFonts w:hint="eastAsia" w:ascii="宋体" w:hAnsi="宋体" w:eastAsia="宋体" w:cs="宋体"/>
                <w:i w:val="0"/>
                <w:color w:val="000000"/>
                <w:sz w:val="18"/>
                <w:szCs w:val="18"/>
                <w:u w:val="none"/>
              </w:rPr>
            </w:pPr>
          </w:p>
        </w:tc>
        <w:tc>
          <w:tcPr>
            <w:tcW w:w="1788" w:type="dxa"/>
            <w:gridSpan w:val="2"/>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exact"/>
        </w:trPr>
        <w:tc>
          <w:tcPr>
            <w:tcW w:w="337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收     入</w:t>
            </w:r>
          </w:p>
        </w:tc>
        <w:tc>
          <w:tcPr>
            <w:tcW w:w="5481" w:type="dxa"/>
            <w:gridSpan w:val="7"/>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2125"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w:t>
            </w: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行次</w:t>
            </w:r>
          </w:p>
        </w:tc>
        <w:tc>
          <w:tcPr>
            <w:tcW w:w="825"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金额</w:t>
            </w:r>
          </w:p>
        </w:tc>
        <w:tc>
          <w:tcPr>
            <w:tcW w:w="2112"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行次</w:t>
            </w:r>
          </w:p>
        </w:tc>
        <w:tc>
          <w:tcPr>
            <w:tcW w:w="988" w:type="dxa"/>
            <w:gridSpan w:val="2"/>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925" w:type="dxa"/>
            <w:gridSpan w:val="2"/>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一般公共预算财政拨款</w:t>
            </w:r>
          </w:p>
        </w:tc>
        <w:tc>
          <w:tcPr>
            <w:tcW w:w="981"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2125"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栏次</w:t>
            </w:r>
          </w:p>
        </w:tc>
        <w:tc>
          <w:tcPr>
            <w:tcW w:w="425" w:type="dxa"/>
            <w:tcBorders>
              <w:left w:val="single" w:color="000000" w:sz="4" w:space="0"/>
              <w:bottom w:val="single" w:color="000000" w:sz="4" w:space="0"/>
              <w:right w:val="single" w:color="000000" w:sz="4" w:space="0"/>
            </w:tcBorders>
            <w:vAlign w:val="center"/>
          </w:tcPr>
          <w:p>
            <w:pPr>
              <w:jc w:val="center"/>
              <w:rPr>
                <w:sz w:val="18"/>
                <w:szCs w:val="18"/>
              </w:rPr>
            </w:pPr>
          </w:p>
        </w:tc>
        <w:tc>
          <w:tcPr>
            <w:tcW w:w="825"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112"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栏次</w:t>
            </w:r>
          </w:p>
        </w:tc>
        <w:tc>
          <w:tcPr>
            <w:tcW w:w="475" w:type="dxa"/>
            <w:tcBorders>
              <w:bottom w:val="single" w:color="000000" w:sz="4" w:space="0"/>
              <w:right w:val="single" w:color="000000" w:sz="4" w:space="0"/>
            </w:tcBorders>
            <w:vAlign w:val="center"/>
          </w:tcPr>
          <w:p>
            <w:pPr>
              <w:jc w:val="center"/>
              <w:rPr>
                <w:sz w:val="18"/>
                <w:szCs w:val="18"/>
              </w:rPr>
            </w:pPr>
          </w:p>
        </w:tc>
        <w:tc>
          <w:tcPr>
            <w:tcW w:w="988" w:type="dxa"/>
            <w:gridSpan w:val="2"/>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925" w:type="dxa"/>
            <w:gridSpan w:val="2"/>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981"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一、一般公共预算财政拨款</w:t>
            </w: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1,784.45</w:t>
            </w: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一、一般公共服务支出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28</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二、政府性基金预算财政拨款</w:t>
            </w: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二、外交支出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29</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三、国防支出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30</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四、公共安全支出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31</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5</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五、教育支出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32</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6</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六、科学技术支出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33</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1"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7</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七、文化体育与传媒支出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34</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8"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8</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八、社会保障和就业支出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35</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181.87</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181.87</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9</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九、医疗卫生与计划生育支出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36</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1,492.02</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1,492.02</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10</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十、节能环保支出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37</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11</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十一、城乡社区支出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38</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12</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十二、农林水支出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39</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13</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十三、交通运输支出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40</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14</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十四、资源勘探信息等支出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41</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1"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15</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十五、商业服务业等支出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42</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16</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十六、金融支出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43</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3"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17</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十七、援助其他地区支出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44</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18</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十八、国土海洋气象等支出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45</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19</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十九、住房保障支出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46</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20</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二十、粮油物资储备支出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47</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21</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二十一、其他支出</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48</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rPr>
              <w:t>本年收入合计</w:t>
            </w: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22</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1,784.45</w:t>
            </w:r>
          </w:p>
        </w:tc>
        <w:tc>
          <w:tcPr>
            <w:tcW w:w="2112"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本年支出合计</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49</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1,673.89</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1,673.89</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exact"/>
        </w:trPr>
        <w:tc>
          <w:tcPr>
            <w:tcW w:w="2125"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rPr>
              <w:t>年初财政拨款结转和结余</w:t>
            </w: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23</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50.08</w:t>
            </w:r>
          </w:p>
        </w:tc>
        <w:tc>
          <w:tcPr>
            <w:tcW w:w="211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rPr>
              <w:t>年末财政拨款结转和结余</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50</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160.64</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160.64</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一般公共预算财政拨款</w:t>
            </w: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24</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50.08</w:t>
            </w:r>
          </w:p>
        </w:tc>
        <w:tc>
          <w:tcPr>
            <w:tcW w:w="2112"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51</w:t>
            </w:r>
          </w:p>
        </w:tc>
        <w:tc>
          <w:tcPr>
            <w:tcW w:w="988" w:type="dxa"/>
            <w:gridSpan w:val="2"/>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25" w:type="dxa"/>
            <w:gridSpan w:val="2"/>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81"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政府性基金预算财政拨款</w:t>
            </w: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25</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2112"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52</w:t>
            </w:r>
          </w:p>
        </w:tc>
        <w:tc>
          <w:tcPr>
            <w:tcW w:w="988" w:type="dxa"/>
            <w:gridSpan w:val="2"/>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25" w:type="dxa"/>
            <w:gridSpan w:val="2"/>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81"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26</w:t>
            </w:r>
          </w:p>
        </w:tc>
        <w:tc>
          <w:tcPr>
            <w:tcW w:w="8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112"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53</w:t>
            </w:r>
          </w:p>
        </w:tc>
        <w:tc>
          <w:tcPr>
            <w:tcW w:w="988" w:type="dxa"/>
            <w:gridSpan w:val="2"/>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25" w:type="dxa"/>
            <w:gridSpan w:val="2"/>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81"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125"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rPr>
              <w:t>总计</w:t>
            </w:r>
          </w:p>
        </w:tc>
        <w:tc>
          <w:tcPr>
            <w:tcW w:w="425" w:type="dxa"/>
            <w:tcBorders>
              <w:left w:val="single" w:color="000000" w:sz="4" w:space="0"/>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27</w:t>
            </w:r>
          </w:p>
        </w:tc>
        <w:tc>
          <w:tcPr>
            <w:tcW w:w="825"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1,834.53</w:t>
            </w:r>
          </w:p>
        </w:tc>
        <w:tc>
          <w:tcPr>
            <w:tcW w:w="2112"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rPr>
              <w:t>总计</w:t>
            </w:r>
          </w:p>
        </w:tc>
        <w:tc>
          <w:tcPr>
            <w:tcW w:w="475" w:type="dxa"/>
            <w:tcBorders>
              <w:bottom w:val="single" w:color="000000" w:sz="4" w:space="0"/>
              <w:right w:val="single" w:color="000000"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54</w:t>
            </w:r>
          </w:p>
        </w:tc>
        <w:tc>
          <w:tcPr>
            <w:tcW w:w="988"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1,834.53</w:t>
            </w:r>
          </w:p>
        </w:tc>
        <w:tc>
          <w:tcPr>
            <w:tcW w:w="92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1,834.53</w:t>
            </w:r>
          </w:p>
        </w:tc>
        <w:tc>
          <w:tcPr>
            <w:tcW w:w="981"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trPr>
        <w:tc>
          <w:tcPr>
            <w:tcW w:w="8856" w:type="dxa"/>
            <w:gridSpan w:val="1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注：本表反映部门本年度一般公共预算财政拨款和政府性基金预算财政拨款的总收支和年末结转结余情况。</w:t>
            </w:r>
          </w:p>
        </w:tc>
      </w:tr>
    </w:tbl>
    <w:p>
      <w:pPr>
        <w:numPr>
          <w:ilvl w:val="0"/>
          <w:numId w:val="0"/>
        </w:numPr>
        <w:jc w:val="both"/>
        <w:rPr>
          <w:rFonts w:hint="eastAsia" w:ascii="黑体" w:hAnsi="黑体" w:eastAsia="黑体" w:cs="黑体"/>
          <w:sz w:val="36"/>
          <w:szCs w:val="36"/>
          <w:lang w:val="en-US" w:eastAsia="zh-CN"/>
        </w:rPr>
      </w:pPr>
    </w:p>
    <w:tbl>
      <w:tblPr>
        <w:tblStyle w:val="3"/>
        <w:tblW w:w="89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17"/>
        <w:gridCol w:w="389"/>
        <w:gridCol w:w="362"/>
        <w:gridCol w:w="3475"/>
        <w:gridCol w:w="1469"/>
        <w:gridCol w:w="1613"/>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998" w:type="dxa"/>
            <w:gridSpan w:val="7"/>
            <w:vAlign w:val="bottom"/>
          </w:tcPr>
          <w:p>
            <w:pPr>
              <w:widowControl/>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17" w:type="dxa"/>
            <w:vAlign w:val="bottom"/>
          </w:tcPr>
          <w:p>
            <w:pPr>
              <w:rPr>
                <w:rFonts w:hint="eastAsia" w:ascii="宋体" w:hAnsi="宋体" w:eastAsia="宋体" w:cs="宋体"/>
                <w:i w:val="0"/>
                <w:color w:val="000000"/>
                <w:sz w:val="18"/>
                <w:szCs w:val="18"/>
                <w:u w:val="none"/>
              </w:rPr>
            </w:pPr>
          </w:p>
        </w:tc>
        <w:tc>
          <w:tcPr>
            <w:tcW w:w="389" w:type="dxa"/>
            <w:vAlign w:val="bottom"/>
          </w:tcPr>
          <w:p>
            <w:pPr>
              <w:rPr>
                <w:rFonts w:hint="eastAsia" w:ascii="宋体" w:hAnsi="宋体" w:eastAsia="宋体" w:cs="宋体"/>
                <w:i w:val="0"/>
                <w:color w:val="000000"/>
                <w:sz w:val="18"/>
                <w:szCs w:val="18"/>
                <w:u w:val="none"/>
              </w:rPr>
            </w:pPr>
          </w:p>
        </w:tc>
        <w:tc>
          <w:tcPr>
            <w:tcW w:w="362" w:type="dxa"/>
            <w:vAlign w:val="bottom"/>
          </w:tcPr>
          <w:p>
            <w:pPr>
              <w:rPr>
                <w:rFonts w:hint="eastAsia" w:ascii="宋体" w:hAnsi="宋体" w:eastAsia="宋体" w:cs="宋体"/>
                <w:i w:val="0"/>
                <w:color w:val="000000"/>
                <w:sz w:val="18"/>
                <w:szCs w:val="18"/>
                <w:u w:val="none"/>
              </w:rPr>
            </w:pPr>
          </w:p>
        </w:tc>
        <w:tc>
          <w:tcPr>
            <w:tcW w:w="3475" w:type="dxa"/>
            <w:vAlign w:val="bottom"/>
          </w:tcPr>
          <w:p>
            <w:pPr>
              <w:rPr>
                <w:rFonts w:hint="eastAsia" w:ascii="宋体" w:hAnsi="宋体" w:eastAsia="宋体" w:cs="宋体"/>
                <w:i w:val="0"/>
                <w:color w:val="000000"/>
                <w:sz w:val="18"/>
                <w:szCs w:val="18"/>
                <w:u w:val="none"/>
              </w:rPr>
            </w:pPr>
          </w:p>
        </w:tc>
        <w:tc>
          <w:tcPr>
            <w:tcW w:w="1469" w:type="dxa"/>
            <w:vAlign w:val="bottom"/>
          </w:tcPr>
          <w:p>
            <w:pPr>
              <w:rPr>
                <w:rFonts w:hint="eastAsia" w:ascii="宋体" w:hAnsi="宋体" w:eastAsia="宋体" w:cs="宋体"/>
                <w:i w:val="0"/>
                <w:color w:val="000000"/>
                <w:sz w:val="18"/>
                <w:szCs w:val="18"/>
                <w:u w:val="none"/>
              </w:rPr>
            </w:pPr>
          </w:p>
        </w:tc>
        <w:tc>
          <w:tcPr>
            <w:tcW w:w="1613" w:type="dxa"/>
            <w:vAlign w:val="bottom"/>
          </w:tcPr>
          <w:p>
            <w:pPr>
              <w:rPr>
                <w:rFonts w:hint="eastAsia" w:ascii="宋体" w:hAnsi="宋体" w:eastAsia="宋体" w:cs="宋体"/>
                <w:i w:val="0"/>
                <w:color w:val="000000"/>
                <w:sz w:val="18"/>
                <w:szCs w:val="18"/>
                <w:u w:val="none"/>
              </w:rPr>
            </w:pPr>
          </w:p>
        </w:tc>
        <w:tc>
          <w:tcPr>
            <w:tcW w:w="1373" w:type="dxa"/>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012" w:type="dxa"/>
            <w:gridSpan w:val="5"/>
            <w:vAlign w:val="bottom"/>
          </w:tcPr>
          <w:p>
            <w:pPr>
              <w:widowControl/>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部门：</w:t>
            </w:r>
            <w:r>
              <w:rPr>
                <w:rFonts w:hint="eastAsia" w:ascii="宋体" w:hAnsi="宋体" w:cs="宋体"/>
                <w:i w:val="0"/>
                <w:color w:val="000000"/>
                <w:kern w:val="0"/>
                <w:sz w:val="18"/>
                <w:szCs w:val="18"/>
                <w:u w:val="none"/>
                <w:lang w:val="en-US" w:eastAsia="zh-CN"/>
              </w:rPr>
              <w:t>省卫生健康委员会</w:t>
            </w:r>
            <w:r>
              <w:rPr>
                <w:rFonts w:hint="eastAsia" w:ascii="宋体" w:hAnsi="宋体" w:eastAsia="宋体" w:cs="宋体"/>
                <w:i w:val="0"/>
                <w:color w:val="000000"/>
                <w:kern w:val="0"/>
                <w:sz w:val="18"/>
                <w:szCs w:val="18"/>
                <w:u w:val="none"/>
                <w:lang w:val="en-US" w:eastAsia="zh-CN"/>
              </w:rPr>
              <w:t>政务服务中心</w:t>
            </w:r>
          </w:p>
        </w:tc>
        <w:tc>
          <w:tcPr>
            <w:tcW w:w="1613" w:type="dxa"/>
            <w:vAlign w:val="bottom"/>
          </w:tcPr>
          <w:p>
            <w:pPr>
              <w:rPr>
                <w:rFonts w:hint="eastAsia" w:ascii="宋体" w:hAnsi="宋体" w:eastAsia="宋体" w:cs="宋体"/>
                <w:i w:val="0"/>
                <w:color w:val="000000"/>
                <w:sz w:val="18"/>
                <w:szCs w:val="18"/>
                <w:u w:val="none"/>
              </w:rPr>
            </w:pPr>
          </w:p>
        </w:tc>
        <w:tc>
          <w:tcPr>
            <w:tcW w:w="1373" w:type="dxa"/>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科目编码</w:t>
            </w:r>
          </w:p>
        </w:tc>
        <w:tc>
          <w:tcPr>
            <w:tcW w:w="3475"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科目名称</w:t>
            </w:r>
          </w:p>
        </w:tc>
        <w:tc>
          <w:tcPr>
            <w:tcW w:w="4455" w:type="dxa"/>
            <w:gridSpan w:val="3"/>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6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47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69"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1613"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基本支出</w:t>
            </w:r>
          </w:p>
        </w:tc>
        <w:tc>
          <w:tcPr>
            <w:tcW w:w="1373"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06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47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69"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613"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373"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06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47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69"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613"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373"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17"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类</w:t>
            </w:r>
          </w:p>
        </w:tc>
        <w:tc>
          <w:tcPr>
            <w:tcW w:w="389"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款</w:t>
            </w:r>
          </w:p>
        </w:tc>
        <w:tc>
          <w:tcPr>
            <w:tcW w:w="362"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w:t>
            </w:r>
          </w:p>
        </w:tc>
        <w:tc>
          <w:tcPr>
            <w:tcW w:w="3475"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栏次</w:t>
            </w:r>
          </w:p>
        </w:tc>
        <w:tc>
          <w:tcPr>
            <w:tcW w:w="1469"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613"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1373"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17"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89"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62"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475"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1,673.89</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429.51</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1,244.38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w:t>
            </w:r>
          </w:p>
        </w:tc>
        <w:tc>
          <w:tcPr>
            <w:tcW w:w="347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社会保障和就业支出</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181.87</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181.87</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trPr>
        <w:tc>
          <w:tcPr>
            <w:tcW w:w="106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w:t>
            </w:r>
          </w:p>
        </w:tc>
        <w:tc>
          <w:tcPr>
            <w:tcW w:w="347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行政事业单位离退休</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181.87</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181.87</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2080502</w:t>
            </w:r>
          </w:p>
        </w:tc>
        <w:tc>
          <w:tcPr>
            <w:tcW w:w="347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事业单位离退休</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80.68</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80.68</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2080599</w:t>
            </w:r>
          </w:p>
        </w:tc>
        <w:tc>
          <w:tcPr>
            <w:tcW w:w="347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其他行政事业单位离退休支出</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101.19</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101.19</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w:t>
            </w:r>
          </w:p>
        </w:tc>
        <w:tc>
          <w:tcPr>
            <w:tcW w:w="347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医疗卫生与计划生育支出</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1,492.02</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247.64</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1,244.38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21001</w:t>
            </w:r>
          </w:p>
        </w:tc>
        <w:tc>
          <w:tcPr>
            <w:tcW w:w="347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医疗卫生与计划生育管理事务</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364.55</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247.64</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2100101</w:t>
            </w:r>
          </w:p>
        </w:tc>
        <w:tc>
          <w:tcPr>
            <w:tcW w:w="347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行政运行</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12.00</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12.00</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2100103</w:t>
            </w:r>
          </w:p>
        </w:tc>
        <w:tc>
          <w:tcPr>
            <w:tcW w:w="347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机关服务</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21.80</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21.80</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2100199</w:t>
            </w:r>
          </w:p>
        </w:tc>
        <w:tc>
          <w:tcPr>
            <w:tcW w:w="347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其他医疗卫生与计划生育管理事务支出</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330.75</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213.84</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21002</w:t>
            </w:r>
          </w:p>
        </w:tc>
        <w:tc>
          <w:tcPr>
            <w:tcW w:w="347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公立医院</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0.95</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2100299</w:t>
            </w:r>
          </w:p>
        </w:tc>
        <w:tc>
          <w:tcPr>
            <w:tcW w:w="347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其他公立医院支出</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0.95</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21006</w:t>
            </w:r>
          </w:p>
        </w:tc>
        <w:tc>
          <w:tcPr>
            <w:tcW w:w="347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中医药</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40.00</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2100601</w:t>
            </w:r>
          </w:p>
        </w:tc>
        <w:tc>
          <w:tcPr>
            <w:tcW w:w="347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中医（民族医)药专项</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40.00</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21007</w:t>
            </w:r>
          </w:p>
        </w:tc>
        <w:tc>
          <w:tcPr>
            <w:tcW w:w="347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计划生育事务</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914.00</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2100799</w:t>
            </w:r>
          </w:p>
        </w:tc>
        <w:tc>
          <w:tcPr>
            <w:tcW w:w="347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其他计划生育事务支出</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914.00</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w:t>
            </w:r>
          </w:p>
        </w:tc>
        <w:tc>
          <w:tcPr>
            <w:tcW w:w="347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行政事业单位医疗</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3.25</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2101199</w:t>
            </w:r>
          </w:p>
        </w:tc>
        <w:tc>
          <w:tcPr>
            <w:tcW w:w="347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其他行政事业单位医疗支出</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3.25</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21099</w:t>
            </w:r>
          </w:p>
        </w:tc>
        <w:tc>
          <w:tcPr>
            <w:tcW w:w="347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其他医疗卫生与计划生育支出</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169.28</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2109901</w:t>
            </w:r>
          </w:p>
        </w:tc>
        <w:tc>
          <w:tcPr>
            <w:tcW w:w="3475"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其他医疗卫生与计划生育支出</w:t>
            </w:r>
          </w:p>
        </w:tc>
        <w:tc>
          <w:tcPr>
            <w:tcW w:w="1469"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169.28</w:t>
            </w:r>
          </w:p>
        </w:tc>
        <w:tc>
          <w:tcPr>
            <w:tcW w:w="161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1373"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98" w:type="dxa"/>
            <w:gridSpan w:val="7"/>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98" w:type="dxa"/>
            <w:gridSpan w:val="7"/>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98" w:type="dxa"/>
            <w:gridSpan w:val="7"/>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p>
        </w:tc>
      </w:tr>
    </w:tbl>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tbl>
      <w:tblPr>
        <w:tblStyle w:val="3"/>
        <w:tblW w:w="10427" w:type="dxa"/>
        <w:tblInd w:w="-8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3"/>
        <w:gridCol w:w="87"/>
        <w:gridCol w:w="575"/>
        <w:gridCol w:w="30"/>
        <w:gridCol w:w="258"/>
        <w:gridCol w:w="464"/>
        <w:gridCol w:w="356"/>
        <w:gridCol w:w="366"/>
        <w:gridCol w:w="170"/>
        <w:gridCol w:w="333"/>
        <w:gridCol w:w="88"/>
        <w:gridCol w:w="2"/>
        <w:gridCol w:w="76"/>
        <w:gridCol w:w="164"/>
        <w:gridCol w:w="281"/>
        <w:gridCol w:w="73"/>
        <w:gridCol w:w="154"/>
        <w:gridCol w:w="51"/>
        <w:gridCol w:w="149"/>
        <w:gridCol w:w="160"/>
        <w:gridCol w:w="387"/>
        <w:gridCol w:w="723"/>
        <w:gridCol w:w="578"/>
        <w:gridCol w:w="145"/>
        <w:gridCol w:w="267"/>
        <w:gridCol w:w="63"/>
        <w:gridCol w:w="393"/>
        <w:gridCol w:w="157"/>
        <w:gridCol w:w="302"/>
        <w:gridCol w:w="237"/>
        <w:gridCol w:w="708"/>
        <w:gridCol w:w="461"/>
        <w:gridCol w:w="364"/>
        <w:gridCol w:w="349"/>
        <w:gridCol w:w="446"/>
        <w:gridCol w:w="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6" w:hRule="atLeast"/>
        </w:trPr>
        <w:tc>
          <w:tcPr>
            <w:tcW w:w="8971" w:type="dxa"/>
            <w:gridSpan w:val="33"/>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6" w:hRule="atLeast"/>
        </w:trPr>
        <w:tc>
          <w:tcPr>
            <w:tcW w:w="662" w:type="dxa"/>
            <w:gridSpan w:val="2"/>
            <w:vAlign w:val="bottom"/>
          </w:tcPr>
          <w:p>
            <w:pPr>
              <w:rPr>
                <w:rFonts w:hint="eastAsia" w:ascii="宋体" w:hAnsi="宋体" w:eastAsia="宋体" w:cs="宋体"/>
                <w:i w:val="0"/>
                <w:color w:val="000000"/>
                <w:sz w:val="18"/>
                <w:szCs w:val="18"/>
                <w:u w:val="none"/>
              </w:rPr>
            </w:pPr>
          </w:p>
        </w:tc>
        <w:tc>
          <w:tcPr>
            <w:tcW w:w="1644" w:type="dxa"/>
            <w:gridSpan w:val="6"/>
            <w:vAlign w:val="bottom"/>
          </w:tcPr>
          <w:p>
            <w:pPr>
              <w:rPr>
                <w:rFonts w:hint="eastAsia" w:ascii="宋体" w:hAnsi="宋体" w:eastAsia="宋体" w:cs="宋体"/>
                <w:i w:val="0"/>
                <w:color w:val="000000"/>
                <w:sz w:val="18"/>
                <w:szCs w:val="18"/>
                <w:u w:val="none"/>
              </w:rPr>
            </w:pPr>
          </w:p>
        </w:tc>
        <w:tc>
          <w:tcPr>
            <w:tcW w:w="944" w:type="dxa"/>
            <w:gridSpan w:val="6"/>
            <w:vAlign w:val="bottom"/>
          </w:tcPr>
          <w:p>
            <w:pPr>
              <w:rPr>
                <w:rFonts w:hint="eastAsia" w:ascii="宋体" w:hAnsi="宋体" w:eastAsia="宋体" w:cs="宋体"/>
                <w:i w:val="0"/>
                <w:color w:val="000000"/>
                <w:sz w:val="18"/>
                <w:szCs w:val="18"/>
                <w:u w:val="none"/>
              </w:rPr>
            </w:pPr>
          </w:p>
        </w:tc>
        <w:tc>
          <w:tcPr>
            <w:tcW w:w="587" w:type="dxa"/>
            <w:gridSpan w:val="5"/>
            <w:vAlign w:val="bottom"/>
          </w:tcPr>
          <w:p>
            <w:pPr>
              <w:rPr>
                <w:rFonts w:hint="eastAsia" w:ascii="宋体" w:hAnsi="宋体" w:eastAsia="宋体" w:cs="宋体"/>
                <w:i w:val="0"/>
                <w:color w:val="000000"/>
                <w:sz w:val="18"/>
                <w:szCs w:val="18"/>
                <w:u w:val="none"/>
              </w:rPr>
            </w:pPr>
          </w:p>
        </w:tc>
        <w:tc>
          <w:tcPr>
            <w:tcW w:w="1688" w:type="dxa"/>
            <w:gridSpan w:val="3"/>
            <w:vAlign w:val="bottom"/>
          </w:tcPr>
          <w:p>
            <w:pPr>
              <w:rPr>
                <w:rFonts w:hint="eastAsia" w:ascii="宋体" w:hAnsi="宋体" w:eastAsia="宋体" w:cs="宋体"/>
                <w:i w:val="0"/>
                <w:color w:val="000000"/>
                <w:sz w:val="18"/>
                <w:szCs w:val="18"/>
                <w:u w:val="none"/>
              </w:rPr>
            </w:pPr>
          </w:p>
        </w:tc>
        <w:tc>
          <w:tcPr>
            <w:tcW w:w="475" w:type="dxa"/>
            <w:gridSpan w:val="3"/>
            <w:vAlign w:val="bottom"/>
          </w:tcPr>
          <w:p>
            <w:pPr>
              <w:rPr>
                <w:rFonts w:hint="eastAsia" w:ascii="宋体" w:hAnsi="宋体" w:eastAsia="宋体" w:cs="宋体"/>
                <w:i w:val="0"/>
                <w:color w:val="000000"/>
                <w:sz w:val="18"/>
                <w:szCs w:val="18"/>
                <w:u w:val="none"/>
              </w:rPr>
            </w:pPr>
          </w:p>
        </w:tc>
        <w:tc>
          <w:tcPr>
            <w:tcW w:w="550" w:type="dxa"/>
            <w:gridSpan w:val="2"/>
            <w:vAlign w:val="bottom"/>
          </w:tcPr>
          <w:p>
            <w:pP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 xml:space="preserve">  </w:t>
            </w:r>
          </w:p>
        </w:tc>
        <w:tc>
          <w:tcPr>
            <w:tcW w:w="2421" w:type="dxa"/>
            <w:gridSpan w:val="6"/>
            <w:vAlign w:val="bottom"/>
          </w:tcPr>
          <w:p>
            <w:pPr>
              <w:widowControl/>
              <w:ind w:firstLine="1620" w:firstLineChars="90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公开0</w:t>
            </w:r>
            <w:r>
              <w:rPr>
                <w:rFonts w:hint="eastAsia" w:ascii="宋体" w:hAnsi="宋体" w:cs="宋体"/>
                <w:i w:val="0"/>
                <w:color w:val="000000"/>
                <w:kern w:val="0"/>
                <w:sz w:val="18"/>
                <w:szCs w:val="18"/>
                <w:u w:val="none"/>
                <w:lang w:val="en-US" w:eastAsia="zh-CN"/>
              </w:rPr>
              <w:t>6</w:t>
            </w:r>
            <w:r>
              <w:rPr>
                <w:rFonts w:hint="eastAsia" w:ascii="宋体" w:hAnsi="宋体" w:eastAsia="宋体" w:cs="宋体"/>
                <w:i w:val="0"/>
                <w:color w:val="000000"/>
                <w:kern w:val="0"/>
                <w:sz w:val="18"/>
                <w:szCs w:val="18"/>
                <w:u w:val="none"/>
                <w:lang w:val="en-US" w:eastAsia="zh-CN"/>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6" w:hRule="atLeast"/>
        </w:trPr>
        <w:tc>
          <w:tcPr>
            <w:tcW w:w="3250" w:type="dxa"/>
            <w:gridSpan w:val="14"/>
            <w:vAlign w:val="bottom"/>
          </w:tcPr>
          <w:p>
            <w:pPr>
              <w:widowControl/>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部门：</w:t>
            </w:r>
            <w:r>
              <w:rPr>
                <w:rFonts w:hint="eastAsia" w:ascii="宋体" w:hAnsi="宋体" w:cs="宋体"/>
                <w:i w:val="0"/>
                <w:color w:val="000000"/>
                <w:kern w:val="0"/>
                <w:sz w:val="18"/>
                <w:szCs w:val="18"/>
                <w:u w:val="none"/>
                <w:lang w:val="en-US" w:eastAsia="zh-CN"/>
              </w:rPr>
              <w:t>省卫生健康委员会</w:t>
            </w:r>
            <w:r>
              <w:rPr>
                <w:rFonts w:hint="eastAsia" w:ascii="宋体" w:hAnsi="宋体" w:eastAsia="宋体" w:cs="宋体"/>
                <w:i w:val="0"/>
                <w:color w:val="000000"/>
                <w:kern w:val="0"/>
                <w:sz w:val="18"/>
                <w:szCs w:val="18"/>
                <w:u w:val="none"/>
                <w:lang w:val="en-US" w:eastAsia="zh-CN"/>
              </w:rPr>
              <w:t>政务服务中心</w:t>
            </w:r>
          </w:p>
        </w:tc>
        <w:tc>
          <w:tcPr>
            <w:tcW w:w="587" w:type="dxa"/>
            <w:gridSpan w:val="5"/>
            <w:vAlign w:val="bottom"/>
          </w:tcPr>
          <w:p>
            <w:pPr>
              <w:rPr>
                <w:rFonts w:hint="eastAsia" w:ascii="宋体" w:hAnsi="宋体" w:eastAsia="宋体" w:cs="宋体"/>
                <w:i w:val="0"/>
                <w:color w:val="000000"/>
                <w:sz w:val="18"/>
                <w:szCs w:val="18"/>
                <w:u w:val="none"/>
              </w:rPr>
            </w:pPr>
          </w:p>
        </w:tc>
        <w:tc>
          <w:tcPr>
            <w:tcW w:w="1688" w:type="dxa"/>
            <w:gridSpan w:val="3"/>
            <w:vAlign w:val="bottom"/>
          </w:tcPr>
          <w:p>
            <w:pPr>
              <w:rPr>
                <w:rFonts w:hint="eastAsia" w:ascii="宋体" w:hAnsi="宋体" w:eastAsia="宋体" w:cs="宋体"/>
                <w:i w:val="0"/>
                <w:color w:val="000000"/>
                <w:sz w:val="18"/>
                <w:szCs w:val="18"/>
                <w:u w:val="none"/>
              </w:rPr>
            </w:pPr>
          </w:p>
        </w:tc>
        <w:tc>
          <w:tcPr>
            <w:tcW w:w="475" w:type="dxa"/>
            <w:gridSpan w:val="3"/>
            <w:vAlign w:val="bottom"/>
          </w:tcPr>
          <w:p>
            <w:pPr>
              <w:rPr>
                <w:rFonts w:hint="eastAsia" w:ascii="宋体" w:hAnsi="宋体" w:eastAsia="宋体" w:cs="宋体"/>
                <w:i w:val="0"/>
                <w:color w:val="000000"/>
                <w:sz w:val="18"/>
                <w:szCs w:val="18"/>
                <w:u w:val="none"/>
              </w:rPr>
            </w:pPr>
          </w:p>
        </w:tc>
        <w:tc>
          <w:tcPr>
            <w:tcW w:w="550" w:type="dxa"/>
            <w:gridSpan w:val="2"/>
            <w:vAlign w:val="bottom"/>
          </w:tcPr>
          <w:p>
            <w:pPr>
              <w:rPr>
                <w:rFonts w:hint="eastAsia" w:ascii="宋体" w:hAnsi="宋体" w:eastAsia="宋体" w:cs="宋体"/>
                <w:i w:val="0"/>
                <w:color w:val="000000"/>
                <w:sz w:val="18"/>
                <w:szCs w:val="18"/>
                <w:u w:val="none"/>
              </w:rPr>
            </w:pPr>
          </w:p>
        </w:tc>
        <w:tc>
          <w:tcPr>
            <w:tcW w:w="2421" w:type="dxa"/>
            <w:gridSpan w:val="6"/>
            <w:vAlign w:val="bottom"/>
          </w:tcPr>
          <w:p>
            <w:pPr>
              <w:widowControl/>
              <w:jc w:val="center"/>
              <w:textAlignment w:val="bottom"/>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金额</w:t>
            </w:r>
            <w:r>
              <w:rPr>
                <w:rFonts w:hint="eastAsia" w:ascii="宋体" w:hAnsi="宋体" w:cs="宋体"/>
                <w:i w:val="0"/>
                <w:color w:val="000000"/>
                <w:kern w:val="0"/>
                <w:sz w:val="18"/>
                <w:szCs w:val="18"/>
                <w:u w:val="none"/>
                <w:lang w:val="en-US" w:eastAsia="zh-CN"/>
              </w:rPr>
              <w:t>单位：</w:t>
            </w:r>
            <w:r>
              <w:rPr>
                <w:rFonts w:hint="eastAsia" w:ascii="宋体" w:hAnsi="宋体" w:eastAsia="宋体" w:cs="宋体"/>
                <w:i w:val="0"/>
                <w:color w:val="000000"/>
                <w:kern w:val="0"/>
                <w:sz w:val="18"/>
                <w:szCs w:val="18"/>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3250"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人员经费</w:t>
            </w:r>
          </w:p>
        </w:tc>
        <w:tc>
          <w:tcPr>
            <w:tcW w:w="5721" w:type="dxa"/>
            <w:gridSpan w:val="19"/>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312" w:hRule="exact"/>
        </w:trPr>
        <w:tc>
          <w:tcPr>
            <w:tcW w:w="662" w:type="dxa"/>
            <w:gridSpan w:val="2"/>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科目</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编码</w:t>
            </w:r>
          </w:p>
        </w:tc>
        <w:tc>
          <w:tcPr>
            <w:tcW w:w="1644" w:type="dxa"/>
            <w:gridSpan w:val="6"/>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科目名称</w:t>
            </w:r>
          </w:p>
        </w:tc>
        <w:tc>
          <w:tcPr>
            <w:tcW w:w="944" w:type="dxa"/>
            <w:gridSpan w:val="6"/>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金额</w:t>
            </w:r>
          </w:p>
        </w:tc>
        <w:tc>
          <w:tcPr>
            <w:tcW w:w="587" w:type="dxa"/>
            <w:gridSpan w:val="5"/>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科目</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编码</w:t>
            </w:r>
          </w:p>
        </w:tc>
        <w:tc>
          <w:tcPr>
            <w:tcW w:w="1688" w:type="dxa"/>
            <w:gridSpan w:val="3"/>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科目名称</w:t>
            </w:r>
          </w:p>
        </w:tc>
        <w:tc>
          <w:tcPr>
            <w:tcW w:w="475" w:type="dxa"/>
            <w:gridSpan w:val="3"/>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金额</w:t>
            </w:r>
          </w:p>
        </w:tc>
        <w:tc>
          <w:tcPr>
            <w:tcW w:w="550" w:type="dxa"/>
            <w:gridSpan w:val="2"/>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科目编码</w:t>
            </w:r>
          </w:p>
        </w:tc>
        <w:tc>
          <w:tcPr>
            <w:tcW w:w="1708" w:type="dxa"/>
            <w:gridSpan w:val="4"/>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科目名称</w:t>
            </w:r>
          </w:p>
        </w:tc>
        <w:tc>
          <w:tcPr>
            <w:tcW w:w="713" w:type="dxa"/>
            <w:gridSpan w:val="2"/>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312" w:hRule="exact"/>
        </w:trPr>
        <w:tc>
          <w:tcPr>
            <w:tcW w:w="662" w:type="dxa"/>
            <w:gridSpan w:val="2"/>
            <w:vMerge w:val="continue"/>
            <w:tcBorders>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644" w:type="dxa"/>
            <w:gridSpan w:val="6"/>
            <w:vMerge w:val="continue"/>
            <w:tcBorders>
              <w:bottom w:val="single" w:color="auto"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44" w:type="dxa"/>
            <w:gridSpan w:val="6"/>
            <w:vMerge w:val="continue"/>
            <w:tcBorders>
              <w:bottom w:val="single" w:color="auto"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87" w:type="dxa"/>
            <w:gridSpan w:val="5"/>
            <w:vMerge w:val="continue"/>
            <w:tcBorders>
              <w:bottom w:val="single" w:color="auto"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688" w:type="dxa"/>
            <w:gridSpan w:val="3"/>
            <w:vMerge w:val="continue"/>
            <w:tcBorders>
              <w:bottom w:val="single" w:color="auto"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75" w:type="dxa"/>
            <w:gridSpan w:val="3"/>
            <w:vMerge w:val="continue"/>
            <w:tcBorders>
              <w:bottom w:val="single" w:color="auto"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50" w:type="dxa"/>
            <w:gridSpan w:val="2"/>
            <w:vMerge w:val="continue"/>
            <w:tcBorders>
              <w:bottom w:val="single" w:color="auto"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708" w:type="dxa"/>
            <w:gridSpan w:val="4"/>
            <w:vMerge w:val="continue"/>
            <w:tcBorders>
              <w:bottom w:val="single" w:color="auto"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13" w:type="dxa"/>
            <w:gridSpan w:val="2"/>
            <w:vMerge w:val="continue"/>
            <w:tcBorders>
              <w:bottom w:val="single" w:color="auto"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工资福利支出</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217.86</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商品和服务支出</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11.02</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310</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资本性支出</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30101</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基本工资</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56.24</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30201</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办公费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31001</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房屋建筑物购建</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30102</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津贴补贴</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70.59</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30202</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印刷费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31002</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办公设备购置</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30103</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奖金</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30203</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咨询费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31003</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专用设备购置</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30106</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伙食补助费</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30204</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手续费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0.21</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31005</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基础设施建设</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30107</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绩效工资</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45.06</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30205</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水费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31006</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大型修缮</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555"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30108</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机关事业单位基本养老保险缴费</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30206</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电费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31007</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信息网络及软件购置更新</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64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30109</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职业年金缴费</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30207</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邮电费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31008</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物资储备</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30110</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职工基本医疗保险缴费</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30208</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取暖费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31009</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土地补偿</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30111</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公务员医疗补助缴费</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30209</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物业管理费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31010</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安置补助</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668"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30112</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其他社会保障缴费</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30211</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差旅费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31011</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地上附着物和青苗补偿</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30113</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住房公积金</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27.28</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30212</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因公出国（境）费用</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1.82</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31012</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拆迁补偿</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30114</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医疗费</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30213</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维修（护）费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31013</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公务用车购置</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30199</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其他工资福利支出</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18.69</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30214</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租赁费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31019</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其他交通工具购置</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32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303</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对个人和家庭的补助</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200.63</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30215</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会议费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31021</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文物和陈列品购置</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32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30301</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离休费</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30216</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培训费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31022</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无形资产购置</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30302</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退休费</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159.58</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30217</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公务接待费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31099</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其他资本性支出</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30303</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退职（役）费</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30218</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专用材料费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312</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对企业补助</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30304</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抚恤金</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30224</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被装购置费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31201</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资本金注入</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30305</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生活补助</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30225</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专用燃料费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31203</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政府投资基金股权投资</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30306</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救济费</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30226</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劳务费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31204</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费用补贴</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30307</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医疗费补助</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30227</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委托业务费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31205</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利息补贴</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30308</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助学金</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30228</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工会经费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8.90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31299</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其他对企业补助</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30309</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奖励金</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7.15</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30229</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福利费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313</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对社会保障基金补助</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30310</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个人农业生产补贴</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30231</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公务用车运行维护费</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31302</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对社会保险基金补助</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610"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30399</w:t>
            </w:r>
          </w:p>
        </w:tc>
        <w:tc>
          <w:tcPr>
            <w:tcW w:w="16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其他对个人和家庭的补助支出</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33.90</w:t>
            </w: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30239</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其他交通费用</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31303</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补充全国社会保障基金</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kern w:val="0"/>
                <w:sz w:val="18"/>
                <w:szCs w:val="18"/>
                <w:u w:val="none"/>
                <w:lang w:val="en-US" w:eastAsia="zh-CN"/>
              </w:rPr>
            </w:pPr>
          </w:p>
        </w:tc>
        <w:tc>
          <w:tcPr>
            <w:tcW w:w="1644"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kern w:val="0"/>
                <w:sz w:val="18"/>
                <w:szCs w:val="18"/>
                <w:u w:val="none"/>
                <w:lang w:val="en-US" w:eastAsia="zh-CN"/>
              </w:rPr>
            </w:pPr>
          </w:p>
        </w:tc>
        <w:tc>
          <w:tcPr>
            <w:tcW w:w="944" w:type="dxa"/>
            <w:gridSpan w:val="6"/>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18"/>
                <w:szCs w:val="18"/>
                <w:u w:val="none"/>
                <w:lang w:val="en-US" w:eastAsia="zh-CN"/>
              </w:rPr>
            </w:pP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30240</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税金及附加费用</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399</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其他支出</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655"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1644"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944" w:type="dxa"/>
            <w:gridSpan w:val="6"/>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sz w:val="18"/>
                <w:szCs w:val="18"/>
                <w:u w:val="none"/>
              </w:rPr>
            </w:pP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30299</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其他商品和服务支出</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0.09</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39906</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赠与</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1644"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944" w:type="dxa"/>
            <w:gridSpan w:val="6"/>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sz w:val="18"/>
                <w:szCs w:val="18"/>
                <w:u w:val="none"/>
              </w:rPr>
            </w:pP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307</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债务利息及费用支出</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39907</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国家赔偿费用支出</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59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1644"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944" w:type="dxa"/>
            <w:gridSpan w:val="6"/>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sz w:val="18"/>
                <w:szCs w:val="18"/>
                <w:u w:val="none"/>
              </w:rPr>
            </w:pP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30701</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国内债务付息</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39908</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对民间非营利组织和群众性自治组织补贴</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1644"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944" w:type="dxa"/>
            <w:gridSpan w:val="6"/>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sz w:val="18"/>
                <w:szCs w:val="18"/>
                <w:u w:val="none"/>
              </w:rPr>
            </w:pP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30702</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国外债务付息</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39999</w:t>
            </w:r>
          </w:p>
        </w:tc>
        <w:tc>
          <w:tcPr>
            <w:tcW w:w="170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其他支出</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635"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1644"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944" w:type="dxa"/>
            <w:gridSpan w:val="6"/>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sz w:val="18"/>
                <w:szCs w:val="18"/>
                <w:u w:val="none"/>
              </w:rPr>
            </w:pP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30703</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国内债务发行费用</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713"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66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1644"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944" w:type="dxa"/>
            <w:gridSpan w:val="6"/>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sz w:val="18"/>
                <w:szCs w:val="18"/>
                <w:u w:val="none"/>
              </w:rPr>
            </w:pPr>
          </w:p>
        </w:tc>
        <w:tc>
          <w:tcPr>
            <w:tcW w:w="587"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30704</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国外债务发行费用</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713"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283" w:hRule="exact"/>
        </w:trPr>
        <w:tc>
          <w:tcPr>
            <w:tcW w:w="2306"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18"/>
                <w:szCs w:val="18"/>
              </w:rPr>
            </w:pPr>
            <w:r>
              <w:rPr>
                <w:rFonts w:hint="eastAsia" w:ascii="宋体" w:hAnsi="宋体" w:eastAsia="宋体" w:cs="宋体"/>
                <w:i w:val="0"/>
                <w:color w:val="000000"/>
                <w:kern w:val="0"/>
                <w:sz w:val="18"/>
                <w:szCs w:val="18"/>
                <w:u w:val="none"/>
                <w:lang w:val="en-US" w:eastAsia="zh-CN"/>
              </w:rPr>
              <w:t>人员经费合计</w:t>
            </w:r>
          </w:p>
        </w:tc>
        <w:tc>
          <w:tcPr>
            <w:tcW w:w="944" w:type="dxa"/>
            <w:gridSpan w:val="6"/>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418.49</w:t>
            </w:r>
          </w:p>
        </w:tc>
        <w:tc>
          <w:tcPr>
            <w:tcW w:w="5008" w:type="dxa"/>
            <w:gridSpan w:val="1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公用经费合计</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sz w:val="18"/>
                <w:szCs w:val="18"/>
              </w:rPr>
            </w:pPr>
            <w:r>
              <w:rPr>
                <w:rFonts w:hint="eastAsia" w:ascii="宋体" w:hAnsi="宋体" w:eastAsia="宋体" w:cs="宋体"/>
                <w:i w:val="0"/>
                <w:color w:val="000000"/>
                <w:kern w:val="0"/>
                <w:sz w:val="18"/>
                <w:szCs w:val="18"/>
                <w:u w:val="none"/>
                <w:lang w:val="en-US" w:eastAsia="zh-CN"/>
              </w:rPr>
              <w:t>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873" w:type="dxa"/>
          <w:wAfter w:w="583" w:type="dxa"/>
          <w:trHeight w:val="301" w:hRule="atLeast"/>
        </w:trPr>
        <w:tc>
          <w:tcPr>
            <w:tcW w:w="8971" w:type="dxa"/>
            <w:gridSpan w:val="33"/>
            <w:tcBorders>
              <w:top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7" w:type="dxa"/>
          <w:trHeight w:val="887" w:hRule="atLeast"/>
        </w:trPr>
        <w:tc>
          <w:tcPr>
            <w:tcW w:w="10290" w:type="dxa"/>
            <w:gridSpan w:val="35"/>
            <w:vAlign w:val="bottom"/>
          </w:tcPr>
          <w:p>
            <w:pPr>
              <w:widowControl w:val="0"/>
              <w:wordWrap/>
              <w:adjustRightInd/>
              <w:snapToGrid/>
              <w:spacing w:before="0" w:beforeLines="0" w:after="0" w:afterLines="0" w:line="560" w:lineRule="exact"/>
              <w:ind w:left="0" w:leftChars="0" w:right="0" w:firstLine="0" w:firstLineChars="0"/>
              <w:jc w:val="both"/>
              <w:textAlignment w:val="auto"/>
              <w:outlineLvl w:val="9"/>
              <w:rPr>
                <w:rFonts w:hint="default" w:ascii="Times New Roman" w:hAnsi="Times New Roman" w:eastAsia="华文中宋" w:cs="Times New Roman"/>
                <w:color w:val="000000"/>
                <w:kern w:val="0"/>
                <w:sz w:val="32"/>
              </w:rPr>
            </w:pPr>
          </w:p>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eastAsia" w:ascii="宋体" w:hAnsi="宋体" w:eastAsia="宋体" w:cs="宋体"/>
                <w:b/>
                <w:bCs/>
                <w:color w:val="000000"/>
                <w:kern w:val="0"/>
                <w:sz w:val="24"/>
                <w:szCs w:val="24"/>
              </w:rPr>
            </w:pPr>
          </w:p>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eastAsia" w:ascii="宋体" w:hAnsi="宋体" w:eastAsia="宋体" w:cs="宋体"/>
                <w:b/>
                <w:bCs/>
                <w:color w:val="000000"/>
                <w:kern w:val="0"/>
                <w:sz w:val="24"/>
                <w:szCs w:val="24"/>
              </w:rPr>
            </w:pPr>
          </w:p>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eastAsia" w:ascii="宋体" w:hAnsi="宋体" w:eastAsia="宋体" w:cs="宋体"/>
                <w:b/>
                <w:bCs/>
                <w:color w:val="000000"/>
                <w:kern w:val="0"/>
                <w:sz w:val="24"/>
                <w:szCs w:val="24"/>
              </w:rPr>
            </w:pPr>
          </w:p>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eastAsia" w:ascii="宋体" w:hAnsi="宋体" w:eastAsia="宋体" w:cs="宋体"/>
                <w:b/>
                <w:bCs/>
                <w:color w:val="000000"/>
                <w:kern w:val="0"/>
                <w:sz w:val="24"/>
                <w:szCs w:val="24"/>
              </w:rPr>
            </w:pPr>
          </w:p>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default" w:ascii="Times New Roman" w:hAnsi="Times New Roman" w:eastAsia="华文中宋" w:cs="Times New Roman"/>
                <w:color w:val="000000"/>
                <w:sz w:val="32"/>
              </w:rPr>
            </w:pPr>
            <w:r>
              <w:rPr>
                <w:rFonts w:hint="eastAsia" w:ascii="宋体" w:hAnsi="宋体" w:eastAsia="宋体" w:cs="宋体"/>
                <w:b/>
                <w:bCs/>
                <w:color w:val="000000"/>
                <w:kern w:val="0"/>
                <w:sz w:val="24"/>
                <w:szCs w:val="24"/>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7" w:type="dxa"/>
          <w:trHeight w:val="314" w:hRule="atLeast"/>
        </w:trPr>
        <w:tc>
          <w:tcPr>
            <w:tcW w:w="1565" w:type="dxa"/>
            <w:gridSpan w:val="4"/>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722" w:type="dxa"/>
            <w:gridSpan w:val="2"/>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722" w:type="dxa"/>
            <w:gridSpan w:val="2"/>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669" w:type="dxa"/>
            <w:gridSpan w:val="5"/>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723" w:type="dxa"/>
            <w:gridSpan w:val="5"/>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696" w:type="dxa"/>
            <w:gridSpan w:val="3"/>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723" w:type="dxa"/>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723" w:type="dxa"/>
            <w:gridSpan w:val="2"/>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723" w:type="dxa"/>
            <w:gridSpan w:val="3"/>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696" w:type="dxa"/>
            <w:gridSpan w:val="3"/>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2328" w:type="dxa"/>
            <w:gridSpan w:val="5"/>
            <w:vAlign w:val="bottom"/>
          </w:tcPr>
          <w:p>
            <w:pPr>
              <w:widowControl/>
              <w:wordWrap/>
              <w:adjustRightInd/>
              <w:snapToGrid/>
              <w:spacing w:before="0" w:beforeLines="0" w:after="0" w:afterLines="0" w:line="220" w:lineRule="exact"/>
              <w:ind w:left="0" w:leftChars="0" w:right="0"/>
              <w:jc w:val="right"/>
              <w:textAlignment w:val="bottom"/>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2" w:hRule="atLeast"/>
        </w:trPr>
        <w:tc>
          <w:tcPr>
            <w:tcW w:w="3512" w:type="dxa"/>
            <w:gridSpan w:val="10"/>
            <w:vAlign w:val="bottom"/>
          </w:tcPr>
          <w:p>
            <w:pPr>
              <w:widowControl/>
              <w:wordWrap/>
              <w:adjustRightInd/>
              <w:snapToGrid/>
              <w:spacing w:before="0" w:beforeLines="0" w:after="0" w:afterLines="0" w:line="220" w:lineRule="exact"/>
              <w:ind w:left="0" w:leftChars="0" w:right="0"/>
              <w:jc w:val="left"/>
              <w:textAlignment w:val="bottom"/>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部门：</w:t>
            </w:r>
            <w:r>
              <w:rPr>
                <w:rFonts w:hint="eastAsia" w:ascii="Times New Roman" w:hAnsi="Times New Roman" w:cs="Times New Roman"/>
                <w:color w:val="000000"/>
                <w:kern w:val="0"/>
                <w:sz w:val="18"/>
                <w:lang w:eastAsia="zh-CN"/>
              </w:rPr>
              <w:t>省卫生健康委员会政务服务中心</w:t>
            </w:r>
          </w:p>
        </w:tc>
        <w:tc>
          <w:tcPr>
            <w:tcW w:w="90" w:type="dxa"/>
            <w:gridSpan w:val="2"/>
            <w:vAlign w:val="bottom"/>
          </w:tcPr>
          <w:p>
            <w:pPr>
              <w:widowControl/>
              <w:wordWrap/>
              <w:adjustRightInd/>
              <w:snapToGrid/>
              <w:spacing w:before="0" w:beforeLines="0" w:after="0" w:afterLines="0" w:line="220" w:lineRule="exact"/>
              <w:ind w:left="0" w:leftChars="0" w:right="0"/>
              <w:jc w:val="right"/>
              <w:textAlignment w:val="bottom"/>
              <w:outlineLvl w:val="9"/>
              <w:rPr>
                <w:rFonts w:hint="default" w:ascii="Times New Roman" w:hAnsi="Times New Roman" w:eastAsia="宋体" w:cs="Times New Roman"/>
                <w:color w:val="000000"/>
                <w:sz w:val="18"/>
              </w:rPr>
            </w:pPr>
          </w:p>
        </w:tc>
        <w:tc>
          <w:tcPr>
            <w:tcW w:w="240" w:type="dxa"/>
            <w:gridSpan w:val="2"/>
            <w:vAlign w:val="bottom"/>
          </w:tcPr>
          <w:p>
            <w:pPr>
              <w:widowControl/>
              <w:wordWrap/>
              <w:adjustRightInd/>
              <w:snapToGrid/>
              <w:spacing w:before="0" w:beforeLines="0" w:after="0" w:afterLines="0" w:line="220" w:lineRule="exact"/>
              <w:ind w:left="0" w:leftChars="0" w:right="0"/>
              <w:jc w:val="right"/>
              <w:textAlignment w:val="bottom"/>
              <w:outlineLvl w:val="9"/>
              <w:rPr>
                <w:rFonts w:hint="default" w:ascii="Times New Roman" w:hAnsi="Times New Roman" w:eastAsia="宋体" w:cs="Times New Roman"/>
                <w:color w:val="000000"/>
                <w:sz w:val="18"/>
              </w:rPr>
            </w:pPr>
          </w:p>
        </w:tc>
        <w:tc>
          <w:tcPr>
            <w:tcW w:w="354" w:type="dxa"/>
            <w:gridSpan w:val="2"/>
            <w:vAlign w:val="bottom"/>
          </w:tcPr>
          <w:p>
            <w:pPr>
              <w:widowControl/>
              <w:wordWrap/>
              <w:adjustRightInd/>
              <w:snapToGrid/>
              <w:spacing w:before="0" w:beforeLines="0" w:after="0" w:afterLines="0" w:line="220" w:lineRule="exact"/>
              <w:ind w:left="0" w:leftChars="0" w:right="0"/>
              <w:jc w:val="right"/>
              <w:textAlignment w:val="bottom"/>
              <w:outlineLvl w:val="9"/>
              <w:rPr>
                <w:rFonts w:hint="default" w:ascii="Times New Roman" w:hAnsi="Times New Roman" w:eastAsia="宋体" w:cs="Times New Roman"/>
                <w:color w:val="000000"/>
                <w:sz w:val="18"/>
              </w:rPr>
            </w:pPr>
          </w:p>
        </w:tc>
        <w:tc>
          <w:tcPr>
            <w:tcW w:w="354" w:type="dxa"/>
            <w:gridSpan w:val="3"/>
            <w:vAlign w:val="bottom"/>
          </w:tcPr>
          <w:p>
            <w:pPr>
              <w:widowControl/>
              <w:wordWrap/>
              <w:adjustRightInd/>
              <w:snapToGrid/>
              <w:spacing w:before="0" w:beforeLines="0" w:after="0" w:afterLines="0" w:line="220" w:lineRule="exact"/>
              <w:ind w:left="0" w:leftChars="0" w:right="0"/>
              <w:jc w:val="right"/>
              <w:textAlignment w:val="bottom"/>
              <w:outlineLvl w:val="9"/>
              <w:rPr>
                <w:rFonts w:hint="default" w:ascii="Times New Roman" w:hAnsi="Times New Roman" w:eastAsia="宋体" w:cs="Times New Roman"/>
                <w:color w:val="000000"/>
                <w:sz w:val="18"/>
              </w:rPr>
            </w:pPr>
          </w:p>
        </w:tc>
        <w:tc>
          <w:tcPr>
            <w:tcW w:w="5877" w:type="dxa"/>
            <w:gridSpan w:val="17"/>
            <w:vAlign w:val="bottom"/>
          </w:tcPr>
          <w:p>
            <w:pPr>
              <w:widowControl/>
              <w:wordWrap/>
              <w:adjustRightInd/>
              <w:snapToGrid/>
              <w:spacing w:before="0" w:beforeLines="0" w:after="0" w:afterLines="0" w:line="220" w:lineRule="exact"/>
              <w:ind w:left="0" w:leftChars="0" w:right="0"/>
              <w:jc w:val="right"/>
              <w:textAlignment w:val="bottom"/>
              <w:outlineLvl w:val="9"/>
              <w:rPr>
                <w:rFonts w:hint="default" w:ascii="Times New Roman" w:hAnsi="Times New Roman" w:eastAsia="宋体" w:cs="Times New Roman"/>
                <w:color w:val="000000"/>
                <w:kern w:val="0"/>
                <w:sz w:val="18"/>
              </w:rPr>
            </w:pPr>
            <w:r>
              <w:rPr>
                <w:rFonts w:hint="default" w:ascii="Times New Roman" w:hAnsi="Times New Roman" w:eastAsia="宋体" w:cs="Times New Roman"/>
                <w:color w:val="000000"/>
                <w:kern w:val="0"/>
                <w:sz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7" w:type="dxa"/>
          <w:trHeight w:val="324" w:hRule="atLeast"/>
        </w:trPr>
        <w:tc>
          <w:tcPr>
            <w:tcW w:w="5097" w:type="dxa"/>
            <w:gridSpan w:val="21"/>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预算数</w:t>
            </w:r>
          </w:p>
        </w:tc>
        <w:tc>
          <w:tcPr>
            <w:tcW w:w="5193" w:type="dxa"/>
            <w:gridSpan w:val="14"/>
            <w:tcBorders>
              <w:top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7" w:type="dxa"/>
          <w:trHeight w:val="324" w:hRule="atLeast"/>
        </w:trPr>
        <w:tc>
          <w:tcPr>
            <w:tcW w:w="960" w:type="dxa"/>
            <w:gridSpan w:val="2"/>
            <w:vMerge w:val="restart"/>
            <w:tcBorders>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合计</w:t>
            </w:r>
          </w:p>
        </w:tc>
        <w:tc>
          <w:tcPr>
            <w:tcW w:w="863" w:type="dxa"/>
            <w:gridSpan w:val="3"/>
            <w:vMerge w:val="restart"/>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因公出国（境）费</w:t>
            </w:r>
          </w:p>
        </w:tc>
        <w:tc>
          <w:tcPr>
            <w:tcW w:w="2527" w:type="dxa"/>
            <w:gridSpan w:val="1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公务用车购置及运行费</w:t>
            </w:r>
          </w:p>
        </w:tc>
        <w:tc>
          <w:tcPr>
            <w:tcW w:w="747" w:type="dxa"/>
            <w:gridSpan w:val="4"/>
            <w:vMerge w:val="restart"/>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公务接待费</w:t>
            </w:r>
          </w:p>
        </w:tc>
        <w:tc>
          <w:tcPr>
            <w:tcW w:w="723" w:type="dxa"/>
            <w:vMerge w:val="restart"/>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合计</w:t>
            </w:r>
          </w:p>
        </w:tc>
        <w:tc>
          <w:tcPr>
            <w:tcW w:w="990" w:type="dxa"/>
            <w:gridSpan w:val="3"/>
            <w:vMerge w:val="restart"/>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因公出国（境）费</w:t>
            </w:r>
          </w:p>
        </w:tc>
        <w:tc>
          <w:tcPr>
            <w:tcW w:w="2685" w:type="dxa"/>
            <w:gridSpan w:val="8"/>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公务用车购置及运行费</w:t>
            </w:r>
          </w:p>
        </w:tc>
        <w:tc>
          <w:tcPr>
            <w:tcW w:w="795" w:type="dxa"/>
            <w:gridSpan w:val="2"/>
            <w:vMerge w:val="restart"/>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7" w:type="dxa"/>
          <w:trHeight w:val="896" w:hRule="atLeast"/>
        </w:trPr>
        <w:tc>
          <w:tcPr>
            <w:tcW w:w="960" w:type="dxa"/>
            <w:gridSpan w:val="2"/>
            <w:vMerge w:val="continue"/>
            <w:tcBorders>
              <w:left w:val="single" w:color="000000" w:sz="4" w:space="0"/>
              <w:bottom w:val="single" w:color="000000" w:sz="4" w:space="0"/>
              <w:right w:val="single" w:color="000000" w:sz="4" w:space="0"/>
            </w:tcBorders>
            <w:vAlign w:val="center"/>
          </w:tcPr>
          <w:p>
            <w:pPr>
              <w:wordWrap/>
              <w:adjustRightInd/>
              <w:snapToGrid/>
              <w:spacing w:before="0" w:beforeLines="0" w:after="0" w:afterLines="0" w:line="220" w:lineRule="exact"/>
              <w:ind w:left="0" w:leftChars="0" w:right="0"/>
              <w:jc w:val="center"/>
              <w:outlineLvl w:val="9"/>
              <w:rPr>
                <w:rFonts w:hint="default" w:ascii="Times New Roman" w:hAnsi="Times New Roman" w:eastAsia="宋体" w:cs="Times New Roman"/>
                <w:color w:val="000000"/>
                <w:sz w:val="18"/>
              </w:rPr>
            </w:pPr>
          </w:p>
        </w:tc>
        <w:tc>
          <w:tcPr>
            <w:tcW w:w="863" w:type="dxa"/>
            <w:gridSpan w:val="3"/>
            <w:vMerge w:val="continue"/>
            <w:tcBorders>
              <w:bottom w:val="single" w:color="000000" w:sz="4" w:space="0"/>
              <w:right w:val="single" w:color="000000" w:sz="4" w:space="0"/>
            </w:tcBorders>
            <w:vAlign w:val="center"/>
          </w:tcPr>
          <w:p>
            <w:pPr>
              <w:wordWrap/>
              <w:adjustRightInd/>
              <w:snapToGrid/>
              <w:spacing w:before="0" w:beforeLines="0" w:after="0" w:afterLines="0" w:line="220" w:lineRule="exact"/>
              <w:ind w:left="0" w:leftChars="0" w:right="0"/>
              <w:jc w:val="center"/>
              <w:outlineLvl w:val="9"/>
              <w:rPr>
                <w:rFonts w:hint="default" w:ascii="Times New Roman" w:hAnsi="Times New Roman" w:eastAsia="宋体" w:cs="Times New Roman"/>
                <w:color w:val="000000"/>
                <w:sz w:val="18"/>
              </w:rPr>
            </w:pPr>
          </w:p>
        </w:tc>
        <w:tc>
          <w:tcPr>
            <w:tcW w:w="820"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小计</w:t>
            </w:r>
          </w:p>
        </w:tc>
        <w:tc>
          <w:tcPr>
            <w:tcW w:w="957" w:type="dxa"/>
            <w:gridSpan w:val="4"/>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公务用车购置费</w:t>
            </w:r>
          </w:p>
        </w:tc>
        <w:tc>
          <w:tcPr>
            <w:tcW w:w="750" w:type="dxa"/>
            <w:gridSpan w:val="6"/>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公务用车运行费</w:t>
            </w:r>
          </w:p>
        </w:tc>
        <w:tc>
          <w:tcPr>
            <w:tcW w:w="747" w:type="dxa"/>
            <w:gridSpan w:val="4"/>
            <w:vMerge w:val="continue"/>
            <w:tcBorders>
              <w:bottom w:val="single" w:color="000000" w:sz="4" w:space="0"/>
              <w:right w:val="single" w:color="000000" w:sz="4" w:space="0"/>
            </w:tcBorders>
            <w:vAlign w:val="center"/>
          </w:tcPr>
          <w:p>
            <w:pPr>
              <w:wordWrap/>
              <w:adjustRightInd/>
              <w:snapToGrid/>
              <w:spacing w:before="0" w:beforeLines="0" w:after="0" w:afterLines="0" w:line="220" w:lineRule="exact"/>
              <w:ind w:left="0" w:leftChars="0" w:right="0"/>
              <w:jc w:val="center"/>
              <w:outlineLvl w:val="9"/>
              <w:rPr>
                <w:rFonts w:hint="default" w:ascii="Times New Roman" w:hAnsi="Times New Roman" w:eastAsia="宋体" w:cs="Times New Roman"/>
                <w:color w:val="000000"/>
                <w:sz w:val="18"/>
              </w:rPr>
            </w:pPr>
          </w:p>
        </w:tc>
        <w:tc>
          <w:tcPr>
            <w:tcW w:w="723" w:type="dxa"/>
            <w:vMerge w:val="continue"/>
            <w:tcBorders>
              <w:bottom w:val="single" w:color="000000" w:sz="4" w:space="0"/>
              <w:right w:val="single" w:color="000000" w:sz="4" w:space="0"/>
            </w:tcBorders>
            <w:vAlign w:val="center"/>
          </w:tcPr>
          <w:p>
            <w:pPr>
              <w:wordWrap/>
              <w:adjustRightInd/>
              <w:snapToGrid/>
              <w:spacing w:before="0" w:beforeLines="0" w:after="0" w:afterLines="0" w:line="220" w:lineRule="exact"/>
              <w:ind w:left="0" w:leftChars="0" w:right="0"/>
              <w:jc w:val="center"/>
              <w:outlineLvl w:val="9"/>
              <w:rPr>
                <w:rFonts w:hint="default" w:ascii="Times New Roman" w:hAnsi="Times New Roman" w:eastAsia="宋体" w:cs="Times New Roman"/>
                <w:color w:val="000000"/>
                <w:sz w:val="18"/>
              </w:rPr>
            </w:pPr>
          </w:p>
        </w:tc>
        <w:tc>
          <w:tcPr>
            <w:tcW w:w="990" w:type="dxa"/>
            <w:gridSpan w:val="3"/>
            <w:vMerge w:val="continue"/>
            <w:tcBorders>
              <w:bottom w:val="single" w:color="000000" w:sz="4" w:space="0"/>
              <w:right w:val="single" w:color="000000" w:sz="4" w:space="0"/>
            </w:tcBorders>
            <w:vAlign w:val="center"/>
          </w:tcPr>
          <w:p>
            <w:pPr>
              <w:wordWrap/>
              <w:adjustRightInd/>
              <w:snapToGrid/>
              <w:spacing w:before="0" w:beforeLines="0" w:after="0" w:afterLines="0" w:line="220" w:lineRule="exact"/>
              <w:ind w:left="0" w:leftChars="0" w:right="0"/>
              <w:jc w:val="center"/>
              <w:outlineLvl w:val="9"/>
              <w:rPr>
                <w:rFonts w:hint="default" w:ascii="Times New Roman" w:hAnsi="Times New Roman" w:eastAsia="宋体" w:cs="Times New Roman"/>
                <w:color w:val="000000"/>
                <w:sz w:val="18"/>
              </w:rPr>
            </w:pPr>
          </w:p>
        </w:tc>
        <w:tc>
          <w:tcPr>
            <w:tcW w:w="915" w:type="dxa"/>
            <w:gridSpan w:val="4"/>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小计</w:t>
            </w:r>
          </w:p>
        </w:tc>
        <w:tc>
          <w:tcPr>
            <w:tcW w:w="945"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公务用车购置费</w:t>
            </w:r>
          </w:p>
        </w:tc>
        <w:tc>
          <w:tcPr>
            <w:tcW w:w="825"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公务用车运行费</w:t>
            </w:r>
          </w:p>
        </w:tc>
        <w:tc>
          <w:tcPr>
            <w:tcW w:w="795" w:type="dxa"/>
            <w:gridSpan w:val="2"/>
            <w:vMerge w:val="continue"/>
            <w:tcBorders>
              <w:bottom w:val="single" w:color="000000" w:sz="4" w:space="0"/>
              <w:right w:val="single" w:color="000000" w:sz="4" w:space="0"/>
            </w:tcBorders>
            <w:vAlign w:val="center"/>
          </w:tcPr>
          <w:p>
            <w:pPr>
              <w:wordWrap/>
              <w:adjustRightInd/>
              <w:snapToGrid/>
              <w:spacing w:before="0" w:beforeLines="0" w:after="0" w:afterLines="0" w:line="220" w:lineRule="exact"/>
              <w:ind w:left="0" w:leftChars="0" w:right="0"/>
              <w:jc w:val="center"/>
              <w:outlineLvl w:val="9"/>
              <w:rPr>
                <w:rFonts w:hint="default" w:ascii="Times New Roman" w:hAnsi="Times New Roman" w:eastAsia="宋体" w:cs="Times New Roman"/>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7" w:type="dxa"/>
          <w:trHeight w:val="324" w:hRule="atLeast"/>
        </w:trPr>
        <w:tc>
          <w:tcPr>
            <w:tcW w:w="960" w:type="dxa"/>
            <w:gridSpan w:val="2"/>
            <w:tcBorders>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1</w:t>
            </w:r>
          </w:p>
        </w:tc>
        <w:tc>
          <w:tcPr>
            <w:tcW w:w="863" w:type="dxa"/>
            <w:gridSpan w:val="3"/>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2</w:t>
            </w:r>
          </w:p>
        </w:tc>
        <w:tc>
          <w:tcPr>
            <w:tcW w:w="820"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3</w:t>
            </w:r>
          </w:p>
        </w:tc>
        <w:tc>
          <w:tcPr>
            <w:tcW w:w="957" w:type="dxa"/>
            <w:gridSpan w:val="4"/>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4</w:t>
            </w:r>
          </w:p>
        </w:tc>
        <w:tc>
          <w:tcPr>
            <w:tcW w:w="750" w:type="dxa"/>
            <w:gridSpan w:val="6"/>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5</w:t>
            </w:r>
          </w:p>
        </w:tc>
        <w:tc>
          <w:tcPr>
            <w:tcW w:w="747" w:type="dxa"/>
            <w:gridSpan w:val="4"/>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6</w:t>
            </w:r>
          </w:p>
        </w:tc>
        <w:tc>
          <w:tcPr>
            <w:tcW w:w="723" w:type="dxa"/>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7</w:t>
            </w:r>
          </w:p>
        </w:tc>
        <w:tc>
          <w:tcPr>
            <w:tcW w:w="990" w:type="dxa"/>
            <w:gridSpan w:val="3"/>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8</w:t>
            </w:r>
          </w:p>
        </w:tc>
        <w:tc>
          <w:tcPr>
            <w:tcW w:w="915" w:type="dxa"/>
            <w:gridSpan w:val="4"/>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9</w:t>
            </w:r>
          </w:p>
        </w:tc>
        <w:tc>
          <w:tcPr>
            <w:tcW w:w="945"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10</w:t>
            </w:r>
          </w:p>
        </w:tc>
        <w:tc>
          <w:tcPr>
            <w:tcW w:w="825"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11</w:t>
            </w:r>
          </w:p>
        </w:tc>
        <w:tc>
          <w:tcPr>
            <w:tcW w:w="795"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7" w:type="dxa"/>
          <w:trHeight w:val="834" w:hRule="atLeast"/>
        </w:trPr>
        <w:tc>
          <w:tcPr>
            <w:tcW w:w="960" w:type="dxa"/>
            <w:gridSpan w:val="2"/>
            <w:tcBorders>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57.82</w:t>
            </w:r>
          </w:p>
        </w:tc>
        <w:tc>
          <w:tcPr>
            <w:tcW w:w="863" w:type="dxa"/>
            <w:gridSpan w:val="3"/>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2.52</w:t>
            </w:r>
          </w:p>
        </w:tc>
        <w:tc>
          <w:tcPr>
            <w:tcW w:w="820"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54.3</w:t>
            </w:r>
          </w:p>
        </w:tc>
        <w:tc>
          <w:tcPr>
            <w:tcW w:w="957" w:type="dxa"/>
            <w:gridSpan w:val="4"/>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50</w:t>
            </w:r>
          </w:p>
        </w:tc>
        <w:tc>
          <w:tcPr>
            <w:tcW w:w="750" w:type="dxa"/>
            <w:gridSpan w:val="6"/>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4.3</w:t>
            </w:r>
          </w:p>
        </w:tc>
        <w:tc>
          <w:tcPr>
            <w:tcW w:w="747" w:type="dxa"/>
            <w:gridSpan w:val="4"/>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1</w:t>
            </w:r>
          </w:p>
        </w:tc>
        <w:tc>
          <w:tcPr>
            <w:tcW w:w="723" w:type="dxa"/>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55.3</w:t>
            </w:r>
          </w:p>
        </w:tc>
        <w:tc>
          <w:tcPr>
            <w:tcW w:w="990" w:type="dxa"/>
            <w:gridSpan w:val="3"/>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1.82</w:t>
            </w:r>
          </w:p>
        </w:tc>
        <w:tc>
          <w:tcPr>
            <w:tcW w:w="915" w:type="dxa"/>
            <w:gridSpan w:val="4"/>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53.48</w:t>
            </w:r>
          </w:p>
        </w:tc>
        <w:tc>
          <w:tcPr>
            <w:tcW w:w="945"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48.51</w:t>
            </w:r>
          </w:p>
        </w:tc>
        <w:tc>
          <w:tcPr>
            <w:tcW w:w="825"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4.97</w:t>
            </w:r>
          </w:p>
        </w:tc>
        <w:tc>
          <w:tcPr>
            <w:tcW w:w="795"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7" w:type="dxa"/>
          <w:trHeight w:val="610" w:hRule="atLeast"/>
        </w:trPr>
        <w:tc>
          <w:tcPr>
            <w:tcW w:w="10290" w:type="dxa"/>
            <w:gridSpan w:val="35"/>
            <w:vAlign w:val="center"/>
          </w:tcPr>
          <w:p>
            <w:pPr>
              <w:widowControl/>
              <w:wordWrap/>
              <w:adjustRightInd/>
              <w:snapToGrid/>
              <w:spacing w:before="0" w:beforeLines="0" w:after="0" w:afterLines="0" w:line="220" w:lineRule="exact"/>
              <w:ind w:left="0" w:leftChars="0" w:right="0" w:firstLine="360" w:firstLineChars="200"/>
              <w:jc w:val="left"/>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注：本表反映部门本年度“三公”经费支出预决算情况。其中：预算数为“三公”经费年初预算数，决算数是包括当年一般公共预算财政拨款和以前年度结转资金安排的实际支出。</w:t>
            </w:r>
          </w:p>
        </w:tc>
      </w:tr>
    </w:tbl>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tbl>
      <w:tblPr>
        <w:tblStyle w:val="3"/>
        <w:tblW w:w="88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0"/>
        <w:gridCol w:w="376"/>
        <w:gridCol w:w="312"/>
        <w:gridCol w:w="713"/>
        <w:gridCol w:w="637"/>
        <w:gridCol w:w="488"/>
        <w:gridCol w:w="600"/>
        <w:gridCol w:w="375"/>
        <w:gridCol w:w="500"/>
        <w:gridCol w:w="487"/>
        <w:gridCol w:w="600"/>
        <w:gridCol w:w="488"/>
        <w:gridCol w:w="487"/>
        <w:gridCol w:w="588"/>
        <w:gridCol w:w="725"/>
        <w:gridCol w:w="650"/>
        <w:gridCol w:w="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868" w:type="dxa"/>
            <w:gridSpan w:val="17"/>
            <w:vAlign w:val="bottom"/>
          </w:tcPr>
          <w:p>
            <w:pPr>
              <w:widowControl/>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30" w:type="dxa"/>
            <w:vAlign w:val="bottom"/>
          </w:tcPr>
          <w:p>
            <w:pPr>
              <w:rPr>
                <w:rFonts w:hint="eastAsia" w:ascii="宋体" w:hAnsi="宋体" w:eastAsia="宋体" w:cs="宋体"/>
                <w:i w:val="0"/>
                <w:color w:val="000000"/>
                <w:sz w:val="18"/>
                <w:szCs w:val="18"/>
                <w:u w:val="none"/>
              </w:rPr>
            </w:pPr>
          </w:p>
        </w:tc>
        <w:tc>
          <w:tcPr>
            <w:tcW w:w="376" w:type="dxa"/>
            <w:vAlign w:val="bottom"/>
          </w:tcPr>
          <w:p>
            <w:pPr>
              <w:rPr>
                <w:rFonts w:hint="eastAsia" w:ascii="宋体" w:hAnsi="宋体" w:eastAsia="宋体" w:cs="宋体"/>
                <w:i w:val="0"/>
                <w:color w:val="000000"/>
                <w:sz w:val="18"/>
                <w:szCs w:val="18"/>
                <w:u w:val="none"/>
              </w:rPr>
            </w:pPr>
          </w:p>
        </w:tc>
        <w:tc>
          <w:tcPr>
            <w:tcW w:w="312" w:type="dxa"/>
            <w:vAlign w:val="bottom"/>
          </w:tcPr>
          <w:p>
            <w:pPr>
              <w:rPr>
                <w:rFonts w:hint="eastAsia" w:ascii="宋体" w:hAnsi="宋体" w:eastAsia="宋体" w:cs="宋体"/>
                <w:i w:val="0"/>
                <w:color w:val="000000"/>
                <w:sz w:val="18"/>
                <w:szCs w:val="18"/>
                <w:u w:val="none"/>
              </w:rPr>
            </w:pPr>
          </w:p>
        </w:tc>
        <w:tc>
          <w:tcPr>
            <w:tcW w:w="713" w:type="dxa"/>
            <w:vAlign w:val="bottom"/>
          </w:tcPr>
          <w:p>
            <w:pPr>
              <w:rPr>
                <w:rFonts w:hint="eastAsia" w:ascii="宋体" w:hAnsi="宋体" w:eastAsia="宋体" w:cs="宋体"/>
                <w:i w:val="0"/>
                <w:color w:val="000000"/>
                <w:sz w:val="18"/>
                <w:szCs w:val="18"/>
                <w:u w:val="none"/>
              </w:rPr>
            </w:pPr>
          </w:p>
        </w:tc>
        <w:tc>
          <w:tcPr>
            <w:tcW w:w="637" w:type="dxa"/>
            <w:vAlign w:val="bottom"/>
          </w:tcPr>
          <w:p>
            <w:pPr>
              <w:rPr>
                <w:rFonts w:hint="eastAsia" w:ascii="宋体" w:hAnsi="宋体" w:eastAsia="宋体" w:cs="宋体"/>
                <w:i w:val="0"/>
                <w:color w:val="000000"/>
                <w:sz w:val="18"/>
                <w:szCs w:val="18"/>
                <w:u w:val="none"/>
              </w:rPr>
            </w:pPr>
          </w:p>
        </w:tc>
        <w:tc>
          <w:tcPr>
            <w:tcW w:w="488" w:type="dxa"/>
            <w:vAlign w:val="bottom"/>
          </w:tcPr>
          <w:p>
            <w:pPr>
              <w:rPr>
                <w:rFonts w:hint="eastAsia" w:ascii="宋体" w:hAnsi="宋体" w:eastAsia="宋体" w:cs="宋体"/>
                <w:i w:val="0"/>
                <w:color w:val="000000"/>
                <w:sz w:val="18"/>
                <w:szCs w:val="18"/>
                <w:u w:val="none"/>
              </w:rPr>
            </w:pPr>
          </w:p>
        </w:tc>
        <w:tc>
          <w:tcPr>
            <w:tcW w:w="600" w:type="dxa"/>
            <w:vAlign w:val="bottom"/>
          </w:tcPr>
          <w:p>
            <w:pPr>
              <w:rPr>
                <w:rFonts w:hint="eastAsia" w:ascii="宋体" w:hAnsi="宋体" w:eastAsia="宋体" w:cs="宋体"/>
                <w:i w:val="0"/>
                <w:color w:val="000000"/>
                <w:sz w:val="18"/>
                <w:szCs w:val="18"/>
                <w:u w:val="none"/>
              </w:rPr>
            </w:pPr>
          </w:p>
        </w:tc>
        <w:tc>
          <w:tcPr>
            <w:tcW w:w="375" w:type="dxa"/>
            <w:vAlign w:val="bottom"/>
          </w:tcPr>
          <w:p>
            <w:pPr>
              <w:rPr>
                <w:rFonts w:hint="eastAsia" w:ascii="宋体" w:hAnsi="宋体" w:eastAsia="宋体" w:cs="宋体"/>
                <w:i w:val="0"/>
                <w:color w:val="000000"/>
                <w:sz w:val="18"/>
                <w:szCs w:val="18"/>
                <w:u w:val="none"/>
              </w:rPr>
            </w:pPr>
          </w:p>
        </w:tc>
        <w:tc>
          <w:tcPr>
            <w:tcW w:w="500" w:type="dxa"/>
            <w:vAlign w:val="bottom"/>
          </w:tcPr>
          <w:p>
            <w:pPr>
              <w:rPr>
                <w:rFonts w:hint="eastAsia" w:ascii="宋体" w:hAnsi="宋体" w:eastAsia="宋体" w:cs="宋体"/>
                <w:i w:val="0"/>
                <w:color w:val="000000"/>
                <w:sz w:val="18"/>
                <w:szCs w:val="18"/>
                <w:u w:val="none"/>
              </w:rPr>
            </w:pPr>
          </w:p>
        </w:tc>
        <w:tc>
          <w:tcPr>
            <w:tcW w:w="487" w:type="dxa"/>
            <w:vAlign w:val="bottom"/>
          </w:tcPr>
          <w:p>
            <w:pPr>
              <w:rPr>
                <w:rFonts w:hint="eastAsia" w:ascii="宋体" w:hAnsi="宋体" w:eastAsia="宋体" w:cs="宋体"/>
                <w:i w:val="0"/>
                <w:color w:val="000000"/>
                <w:sz w:val="18"/>
                <w:szCs w:val="18"/>
                <w:u w:val="none"/>
              </w:rPr>
            </w:pPr>
          </w:p>
        </w:tc>
        <w:tc>
          <w:tcPr>
            <w:tcW w:w="600" w:type="dxa"/>
            <w:vAlign w:val="bottom"/>
          </w:tcPr>
          <w:p>
            <w:pPr>
              <w:rPr>
                <w:rFonts w:hint="eastAsia" w:ascii="宋体" w:hAnsi="宋体" w:eastAsia="宋体" w:cs="宋体"/>
                <w:i w:val="0"/>
                <w:color w:val="000000"/>
                <w:sz w:val="18"/>
                <w:szCs w:val="18"/>
                <w:u w:val="none"/>
              </w:rPr>
            </w:pPr>
          </w:p>
        </w:tc>
        <w:tc>
          <w:tcPr>
            <w:tcW w:w="488" w:type="dxa"/>
            <w:vAlign w:val="bottom"/>
          </w:tcPr>
          <w:p>
            <w:pPr>
              <w:rPr>
                <w:rFonts w:hint="eastAsia" w:ascii="宋体" w:hAnsi="宋体" w:eastAsia="宋体" w:cs="宋体"/>
                <w:i w:val="0"/>
                <w:color w:val="000000"/>
                <w:sz w:val="18"/>
                <w:szCs w:val="18"/>
                <w:u w:val="none"/>
              </w:rPr>
            </w:pPr>
          </w:p>
        </w:tc>
        <w:tc>
          <w:tcPr>
            <w:tcW w:w="487" w:type="dxa"/>
            <w:vAlign w:val="bottom"/>
          </w:tcPr>
          <w:p>
            <w:pPr>
              <w:rPr>
                <w:rFonts w:hint="eastAsia" w:ascii="宋体" w:hAnsi="宋体" w:eastAsia="宋体" w:cs="宋体"/>
                <w:i w:val="0"/>
                <w:color w:val="000000"/>
                <w:sz w:val="18"/>
                <w:szCs w:val="18"/>
                <w:u w:val="none"/>
              </w:rPr>
            </w:pPr>
          </w:p>
        </w:tc>
        <w:tc>
          <w:tcPr>
            <w:tcW w:w="588" w:type="dxa"/>
            <w:vAlign w:val="bottom"/>
          </w:tcPr>
          <w:p>
            <w:pPr>
              <w:rPr>
                <w:rFonts w:hint="eastAsia" w:ascii="宋体" w:hAnsi="宋体" w:eastAsia="宋体" w:cs="宋体"/>
                <w:i w:val="0"/>
                <w:color w:val="000000"/>
                <w:sz w:val="18"/>
                <w:szCs w:val="18"/>
                <w:u w:val="none"/>
              </w:rPr>
            </w:pPr>
          </w:p>
        </w:tc>
        <w:tc>
          <w:tcPr>
            <w:tcW w:w="725" w:type="dxa"/>
            <w:vAlign w:val="bottom"/>
          </w:tcPr>
          <w:p>
            <w:pPr>
              <w:rPr>
                <w:rFonts w:hint="eastAsia" w:ascii="宋体" w:hAnsi="宋体" w:eastAsia="宋体" w:cs="宋体"/>
                <w:i w:val="0"/>
                <w:color w:val="000000"/>
                <w:sz w:val="18"/>
                <w:szCs w:val="18"/>
                <w:u w:val="none"/>
              </w:rPr>
            </w:pPr>
          </w:p>
        </w:tc>
        <w:tc>
          <w:tcPr>
            <w:tcW w:w="1262" w:type="dxa"/>
            <w:gridSpan w:val="2"/>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356" w:type="dxa"/>
            <w:gridSpan w:val="7"/>
            <w:vAlign w:val="bottom"/>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部门：</w:t>
            </w:r>
            <w:r>
              <w:rPr>
                <w:rFonts w:hint="eastAsia" w:ascii="宋体" w:hAnsi="宋体" w:cs="宋体"/>
                <w:i w:val="0"/>
                <w:color w:val="000000"/>
                <w:kern w:val="0"/>
                <w:sz w:val="18"/>
                <w:szCs w:val="18"/>
                <w:u w:val="none"/>
                <w:lang w:val="en-US" w:eastAsia="zh-CN"/>
              </w:rPr>
              <w:t>省卫生健康委员会</w:t>
            </w:r>
            <w:r>
              <w:rPr>
                <w:rFonts w:hint="eastAsia" w:ascii="宋体" w:hAnsi="宋体" w:eastAsia="宋体" w:cs="宋体"/>
                <w:i w:val="0"/>
                <w:color w:val="000000"/>
                <w:kern w:val="0"/>
                <w:sz w:val="18"/>
                <w:szCs w:val="18"/>
                <w:u w:val="none"/>
                <w:lang w:val="en-US" w:eastAsia="zh-CN"/>
              </w:rPr>
              <w:t>政务服务中心</w:t>
            </w:r>
          </w:p>
        </w:tc>
        <w:tc>
          <w:tcPr>
            <w:tcW w:w="375" w:type="dxa"/>
            <w:vAlign w:val="bottom"/>
          </w:tcPr>
          <w:p>
            <w:pPr>
              <w:rPr>
                <w:rFonts w:hint="eastAsia" w:ascii="宋体" w:hAnsi="宋体" w:eastAsia="宋体" w:cs="宋体"/>
                <w:i w:val="0"/>
                <w:color w:val="000000"/>
                <w:sz w:val="18"/>
                <w:szCs w:val="18"/>
                <w:u w:val="none"/>
              </w:rPr>
            </w:pPr>
          </w:p>
        </w:tc>
        <w:tc>
          <w:tcPr>
            <w:tcW w:w="500" w:type="dxa"/>
            <w:vAlign w:val="bottom"/>
          </w:tcPr>
          <w:p>
            <w:pPr>
              <w:rPr>
                <w:rFonts w:hint="eastAsia" w:ascii="宋体" w:hAnsi="宋体" w:eastAsia="宋体" w:cs="宋体"/>
                <w:i w:val="0"/>
                <w:color w:val="000000"/>
                <w:sz w:val="18"/>
                <w:szCs w:val="18"/>
                <w:u w:val="none"/>
              </w:rPr>
            </w:pPr>
          </w:p>
        </w:tc>
        <w:tc>
          <w:tcPr>
            <w:tcW w:w="487" w:type="dxa"/>
            <w:vAlign w:val="bottom"/>
          </w:tcPr>
          <w:p>
            <w:pPr>
              <w:rPr>
                <w:rFonts w:hint="eastAsia" w:ascii="宋体" w:hAnsi="宋体" w:eastAsia="宋体" w:cs="宋体"/>
                <w:i w:val="0"/>
                <w:color w:val="000000"/>
                <w:sz w:val="18"/>
                <w:szCs w:val="18"/>
                <w:u w:val="none"/>
              </w:rPr>
            </w:pPr>
          </w:p>
        </w:tc>
        <w:tc>
          <w:tcPr>
            <w:tcW w:w="600" w:type="dxa"/>
            <w:vAlign w:val="bottom"/>
          </w:tcPr>
          <w:p>
            <w:pPr>
              <w:rPr>
                <w:rFonts w:hint="eastAsia" w:ascii="宋体" w:hAnsi="宋体" w:eastAsia="宋体" w:cs="宋体"/>
                <w:i w:val="0"/>
                <w:color w:val="000000"/>
                <w:sz w:val="18"/>
                <w:szCs w:val="18"/>
                <w:u w:val="none"/>
              </w:rPr>
            </w:pPr>
          </w:p>
        </w:tc>
        <w:tc>
          <w:tcPr>
            <w:tcW w:w="488" w:type="dxa"/>
            <w:vAlign w:val="bottom"/>
          </w:tcPr>
          <w:p>
            <w:pPr>
              <w:rPr>
                <w:rFonts w:hint="eastAsia" w:ascii="宋体" w:hAnsi="宋体" w:eastAsia="宋体" w:cs="宋体"/>
                <w:i w:val="0"/>
                <w:color w:val="000000"/>
                <w:sz w:val="18"/>
                <w:szCs w:val="18"/>
                <w:u w:val="none"/>
              </w:rPr>
            </w:pPr>
          </w:p>
        </w:tc>
        <w:tc>
          <w:tcPr>
            <w:tcW w:w="487" w:type="dxa"/>
            <w:vAlign w:val="bottom"/>
          </w:tcPr>
          <w:p>
            <w:pPr>
              <w:rPr>
                <w:rFonts w:hint="eastAsia" w:ascii="宋体" w:hAnsi="宋体" w:eastAsia="宋体" w:cs="宋体"/>
                <w:i w:val="0"/>
                <w:color w:val="000000"/>
                <w:sz w:val="18"/>
                <w:szCs w:val="18"/>
                <w:u w:val="none"/>
              </w:rPr>
            </w:pPr>
          </w:p>
        </w:tc>
        <w:tc>
          <w:tcPr>
            <w:tcW w:w="588" w:type="dxa"/>
            <w:vAlign w:val="bottom"/>
          </w:tcPr>
          <w:p>
            <w:pPr>
              <w:rPr>
                <w:rFonts w:hint="eastAsia" w:ascii="宋体" w:hAnsi="宋体" w:eastAsia="宋体" w:cs="宋体"/>
                <w:i w:val="0"/>
                <w:color w:val="000000"/>
                <w:sz w:val="18"/>
                <w:szCs w:val="18"/>
                <w:u w:val="none"/>
              </w:rPr>
            </w:pPr>
          </w:p>
        </w:tc>
        <w:tc>
          <w:tcPr>
            <w:tcW w:w="725" w:type="dxa"/>
            <w:vAlign w:val="bottom"/>
          </w:tcPr>
          <w:p>
            <w:pPr>
              <w:rPr>
                <w:rFonts w:hint="eastAsia" w:ascii="宋体" w:hAnsi="宋体" w:eastAsia="宋体" w:cs="宋体"/>
                <w:i w:val="0"/>
                <w:color w:val="000000"/>
                <w:sz w:val="18"/>
                <w:szCs w:val="18"/>
                <w:u w:val="none"/>
              </w:rPr>
            </w:pPr>
          </w:p>
        </w:tc>
        <w:tc>
          <w:tcPr>
            <w:tcW w:w="1262" w:type="dxa"/>
            <w:gridSpan w:val="2"/>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科目编码</w:t>
            </w:r>
          </w:p>
        </w:tc>
        <w:tc>
          <w:tcPr>
            <w:tcW w:w="713"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科目</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名称</w:t>
            </w:r>
          </w:p>
        </w:tc>
        <w:tc>
          <w:tcPr>
            <w:tcW w:w="1725" w:type="dxa"/>
            <w:gridSpan w:val="3"/>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年初结转和结余</w:t>
            </w:r>
          </w:p>
        </w:tc>
        <w:tc>
          <w:tcPr>
            <w:tcW w:w="1362" w:type="dxa"/>
            <w:gridSpan w:val="3"/>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本年收入</w:t>
            </w:r>
          </w:p>
        </w:tc>
        <w:tc>
          <w:tcPr>
            <w:tcW w:w="1575" w:type="dxa"/>
            <w:gridSpan w:val="3"/>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本年支出</w:t>
            </w:r>
          </w:p>
        </w:tc>
        <w:tc>
          <w:tcPr>
            <w:tcW w:w="2575" w:type="dxa"/>
            <w:gridSpan w:val="4"/>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13"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37"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488"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基本支出结转</w:t>
            </w:r>
          </w:p>
        </w:tc>
        <w:tc>
          <w:tcPr>
            <w:tcW w:w="600"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项目支出结转和结余</w:t>
            </w:r>
          </w:p>
        </w:tc>
        <w:tc>
          <w:tcPr>
            <w:tcW w:w="375"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500"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基本支出</w:t>
            </w:r>
          </w:p>
        </w:tc>
        <w:tc>
          <w:tcPr>
            <w:tcW w:w="487"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项目支出</w:t>
            </w:r>
          </w:p>
        </w:tc>
        <w:tc>
          <w:tcPr>
            <w:tcW w:w="600"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488"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基本支出</w:t>
            </w:r>
          </w:p>
        </w:tc>
        <w:tc>
          <w:tcPr>
            <w:tcW w:w="487"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项目支出</w:t>
            </w:r>
          </w:p>
        </w:tc>
        <w:tc>
          <w:tcPr>
            <w:tcW w:w="588"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725"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基本支出结转</w:t>
            </w:r>
          </w:p>
        </w:tc>
        <w:tc>
          <w:tcPr>
            <w:tcW w:w="1262" w:type="dxa"/>
            <w:gridSpan w:val="2"/>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91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13"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37"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88"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00"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75"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00"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87"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00"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88"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87"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88"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25"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50"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项目支出结转</w:t>
            </w:r>
          </w:p>
        </w:tc>
        <w:tc>
          <w:tcPr>
            <w:tcW w:w="612"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91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13"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37"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88"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00"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75"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00"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87"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00"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88"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87"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88"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25"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50"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12"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30"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类</w:t>
            </w:r>
          </w:p>
        </w:tc>
        <w:tc>
          <w:tcPr>
            <w:tcW w:w="376"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款</w:t>
            </w:r>
          </w:p>
        </w:tc>
        <w:tc>
          <w:tcPr>
            <w:tcW w:w="312"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w:t>
            </w:r>
          </w:p>
        </w:tc>
        <w:tc>
          <w:tcPr>
            <w:tcW w:w="713"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栏次</w:t>
            </w:r>
          </w:p>
        </w:tc>
        <w:tc>
          <w:tcPr>
            <w:tcW w:w="63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488"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600"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375"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500"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48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600"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w:t>
            </w:r>
          </w:p>
        </w:tc>
        <w:tc>
          <w:tcPr>
            <w:tcW w:w="488"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w:t>
            </w:r>
          </w:p>
        </w:tc>
        <w:tc>
          <w:tcPr>
            <w:tcW w:w="48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w:t>
            </w:r>
          </w:p>
        </w:tc>
        <w:tc>
          <w:tcPr>
            <w:tcW w:w="588"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725"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w:t>
            </w:r>
          </w:p>
        </w:tc>
        <w:tc>
          <w:tcPr>
            <w:tcW w:w="650"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w:t>
            </w:r>
          </w:p>
        </w:tc>
        <w:tc>
          <w:tcPr>
            <w:tcW w:w="612"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30"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76"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12"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637"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375"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588"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725"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65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61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63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37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7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5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1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63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37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7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5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1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63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37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7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5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1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63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37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7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5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1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63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37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7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5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1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63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37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7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5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1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868" w:type="dxa"/>
            <w:gridSpan w:val="17"/>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注：本表反映部门本年度政府性基金预算财政拨款收入、支出及结转和结余情况。</w:t>
            </w:r>
          </w:p>
        </w:tc>
      </w:tr>
    </w:tbl>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p>
      <w:pPr>
        <w:widowControl/>
        <w:wordWrap/>
        <w:adjustRightInd/>
        <w:snapToGrid/>
        <w:spacing w:before="0" w:beforeLines="0" w:after="0" w:afterLines="0" w:line="640" w:lineRule="exact"/>
        <w:ind w:left="0" w:leftChars="0" w:right="0" w:firstLine="0" w:firstLineChars="0"/>
        <w:jc w:val="center"/>
        <w:textAlignment w:val="auto"/>
        <w:outlineLvl w:val="9"/>
        <w:rPr>
          <w:rFonts w:hint="eastAsia" w:ascii="黑体" w:hAnsi="黑体" w:eastAsia="黑体" w:cs="黑体"/>
          <w:b w:val="0"/>
          <w:bCs/>
          <w:color w:val="000000"/>
          <w:sz w:val="36"/>
        </w:rPr>
      </w:pPr>
      <w:r>
        <w:rPr>
          <w:rFonts w:hint="eastAsia" w:ascii="黑体" w:hAnsi="黑体" w:eastAsia="黑体" w:cs="黑体"/>
          <w:b w:val="0"/>
          <w:bCs/>
          <w:color w:val="000000"/>
          <w:sz w:val="36"/>
        </w:rPr>
        <w:t xml:space="preserve">第三部分   </w:t>
      </w:r>
      <w:r>
        <w:rPr>
          <w:rFonts w:hint="eastAsia" w:ascii="黑体" w:hAnsi="黑体" w:eastAsia="黑体" w:cs="黑体"/>
          <w:b w:val="0"/>
          <w:bCs/>
          <w:color w:val="313131"/>
          <w:kern w:val="0"/>
          <w:sz w:val="36"/>
          <w:szCs w:val="44"/>
          <w:lang w:eastAsia="zh-CN"/>
        </w:rPr>
        <w:t>2018年</w:t>
      </w:r>
      <w:r>
        <w:rPr>
          <w:rFonts w:hint="eastAsia" w:ascii="黑体" w:hAnsi="黑体" w:eastAsia="黑体" w:cs="黑体"/>
          <w:b w:val="0"/>
          <w:bCs/>
          <w:color w:val="000000"/>
          <w:sz w:val="36"/>
        </w:rPr>
        <w:t>部门决算情况说明</w:t>
      </w:r>
    </w:p>
    <w:p>
      <w:pPr>
        <w:widowControl/>
        <w:spacing w:line="640" w:lineRule="exact"/>
        <w:jc w:val="center"/>
        <w:rPr>
          <w:rFonts w:hint="default" w:ascii="Times New Roman" w:hAnsi="Times New Roman" w:eastAsia="黑体" w:cs="Times New Roman"/>
          <w:b/>
          <w:color w:val="000000"/>
          <w:sz w:val="32"/>
        </w:rPr>
      </w:pP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黑体" w:cs="Times New Roman"/>
          <w:b w:val="0"/>
          <w:bCs/>
          <w:color w:val="000000"/>
          <w:sz w:val="32"/>
        </w:rPr>
      </w:pPr>
      <w:r>
        <w:rPr>
          <w:rFonts w:hint="default" w:ascii="Times New Roman" w:hAnsi="Times New Roman" w:eastAsia="黑体" w:cs="Times New Roman"/>
          <w:b w:val="0"/>
          <w:bCs/>
          <w:color w:val="000000"/>
          <w:sz w:val="32"/>
        </w:rPr>
        <w:t>一、</w:t>
      </w:r>
      <w:r>
        <w:rPr>
          <w:rFonts w:hint="eastAsia" w:ascii="Times New Roman" w:hAnsi="Times New Roman" w:eastAsia="黑体" w:cs="Times New Roman"/>
          <w:b w:val="0"/>
          <w:bCs/>
          <w:color w:val="000000"/>
          <w:sz w:val="32"/>
          <w:lang w:eastAsia="zh-CN"/>
        </w:rPr>
        <w:t>2018年</w:t>
      </w:r>
      <w:r>
        <w:rPr>
          <w:rFonts w:hint="default" w:ascii="Times New Roman" w:hAnsi="Times New Roman" w:eastAsia="黑体" w:cs="Times New Roman"/>
          <w:b w:val="0"/>
          <w:bCs/>
          <w:color w:val="000000"/>
          <w:sz w:val="32"/>
        </w:rPr>
        <w:t>度收入支出决算总体情况说明</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（一）年度收入总体情况</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省</w:t>
      </w:r>
      <w:r>
        <w:rPr>
          <w:rFonts w:hint="eastAsia" w:ascii="Times New Roman" w:hAnsi="Times New Roman" w:eastAsia="仿宋_GB2312" w:cs="Times New Roman"/>
          <w:b w:val="0"/>
          <w:bCs/>
          <w:color w:val="333333"/>
          <w:kern w:val="0"/>
          <w:sz w:val="32"/>
          <w:szCs w:val="28"/>
          <w:lang w:eastAsia="zh-CN"/>
        </w:rPr>
        <w:t>卫生健康委员会政务服务中心2018年</w:t>
      </w:r>
      <w:r>
        <w:rPr>
          <w:rFonts w:hint="default" w:ascii="Times New Roman" w:hAnsi="Times New Roman" w:eastAsia="仿宋_GB2312" w:cs="Times New Roman"/>
          <w:b w:val="0"/>
          <w:bCs/>
          <w:color w:val="333333"/>
          <w:kern w:val="0"/>
          <w:sz w:val="32"/>
          <w:szCs w:val="28"/>
        </w:rPr>
        <w:t>度总收入</w:t>
      </w:r>
      <w:r>
        <w:rPr>
          <w:rFonts w:hint="eastAsia" w:ascii="Times New Roman" w:hAnsi="Times New Roman" w:eastAsia="仿宋_GB2312" w:cs="Times New Roman"/>
          <w:b w:val="0"/>
          <w:bCs/>
          <w:color w:val="333333"/>
          <w:kern w:val="0"/>
          <w:sz w:val="32"/>
          <w:szCs w:val="28"/>
          <w:lang w:val="en-US" w:eastAsia="zh-CN"/>
        </w:rPr>
        <w:t>2,169.36</w:t>
      </w:r>
      <w:r>
        <w:rPr>
          <w:rFonts w:hint="default" w:ascii="Times New Roman" w:hAnsi="Times New Roman" w:eastAsia="仿宋_GB2312" w:cs="Times New Roman"/>
          <w:b w:val="0"/>
          <w:bCs/>
          <w:color w:val="333333"/>
          <w:kern w:val="0"/>
          <w:sz w:val="32"/>
          <w:szCs w:val="28"/>
        </w:rPr>
        <w:t>万元，其中本年收入</w:t>
      </w:r>
      <w:r>
        <w:rPr>
          <w:rFonts w:hint="eastAsia" w:ascii="Times New Roman" w:hAnsi="Times New Roman" w:eastAsia="仿宋_GB2312" w:cs="Times New Roman"/>
          <w:b w:val="0"/>
          <w:bCs/>
          <w:color w:val="333333"/>
          <w:kern w:val="0"/>
          <w:sz w:val="32"/>
          <w:szCs w:val="28"/>
          <w:lang w:val="en-US" w:eastAsia="zh-CN"/>
        </w:rPr>
        <w:t>1,985.35</w:t>
      </w:r>
      <w:r>
        <w:rPr>
          <w:rFonts w:hint="default" w:ascii="Times New Roman" w:hAnsi="Times New Roman" w:eastAsia="仿宋_GB2312" w:cs="Times New Roman"/>
          <w:b w:val="0"/>
          <w:bCs/>
          <w:color w:val="333333"/>
          <w:kern w:val="0"/>
          <w:sz w:val="32"/>
          <w:szCs w:val="28"/>
        </w:rPr>
        <w:t>万元。具体情况如下：</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1.财政拨款收入</w:t>
      </w:r>
      <w:r>
        <w:rPr>
          <w:rFonts w:hint="eastAsia" w:ascii="Times New Roman" w:hAnsi="Times New Roman" w:eastAsia="仿宋_GB2312" w:cs="Times New Roman"/>
          <w:b w:val="0"/>
          <w:bCs/>
          <w:color w:val="333333"/>
          <w:kern w:val="0"/>
          <w:sz w:val="32"/>
          <w:szCs w:val="28"/>
          <w:lang w:val="en-US" w:eastAsia="zh-CN"/>
        </w:rPr>
        <w:t>1784.45</w:t>
      </w:r>
      <w:r>
        <w:rPr>
          <w:rFonts w:hint="default" w:ascii="Times New Roman" w:hAnsi="Times New Roman" w:eastAsia="仿宋_GB2312" w:cs="Times New Roman"/>
          <w:b w:val="0"/>
          <w:bCs/>
          <w:color w:val="333333"/>
          <w:kern w:val="0"/>
          <w:sz w:val="32"/>
          <w:szCs w:val="28"/>
        </w:rPr>
        <w:t>万元，比上年决算数</w:t>
      </w:r>
      <w:r>
        <w:rPr>
          <w:rFonts w:hint="eastAsia" w:ascii="Times New Roman" w:hAnsi="Times New Roman" w:eastAsia="仿宋_GB2312" w:cs="Times New Roman"/>
          <w:b w:val="0"/>
          <w:bCs/>
          <w:color w:val="333333"/>
          <w:kern w:val="0"/>
          <w:sz w:val="32"/>
          <w:szCs w:val="28"/>
          <w:lang w:eastAsia="zh-CN"/>
        </w:rPr>
        <w:t>增加</w:t>
      </w:r>
      <w:r>
        <w:rPr>
          <w:rFonts w:hint="eastAsia" w:ascii="Times New Roman" w:hAnsi="Times New Roman" w:eastAsia="仿宋_GB2312" w:cs="Times New Roman"/>
          <w:b w:val="0"/>
          <w:bCs/>
          <w:color w:val="333333"/>
          <w:kern w:val="0"/>
          <w:sz w:val="32"/>
          <w:szCs w:val="28"/>
          <w:lang w:val="en-US" w:eastAsia="zh-CN"/>
        </w:rPr>
        <w:t>343.61</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增长</w:t>
      </w:r>
      <w:r>
        <w:rPr>
          <w:rFonts w:hint="eastAsia" w:ascii="Times New Roman" w:hAnsi="Times New Roman" w:eastAsia="仿宋_GB2312" w:cs="Times New Roman"/>
          <w:b w:val="0"/>
          <w:bCs/>
          <w:color w:val="333333"/>
          <w:kern w:val="0"/>
          <w:sz w:val="32"/>
          <w:szCs w:val="28"/>
          <w:lang w:val="en-US" w:eastAsia="zh-CN"/>
        </w:rPr>
        <w:t>23.85</w:t>
      </w:r>
      <w:r>
        <w:rPr>
          <w:rFonts w:hint="default" w:ascii="Times New Roman" w:hAnsi="Times New Roman" w:eastAsia="仿宋_GB2312" w:cs="Times New Roman"/>
          <w:b w:val="0"/>
          <w:bCs/>
          <w:color w:val="333333"/>
          <w:kern w:val="0"/>
          <w:sz w:val="32"/>
          <w:szCs w:val="28"/>
        </w:rPr>
        <w:t xml:space="preserve"> %。主要变动情况：</w:t>
      </w:r>
      <w:r>
        <w:rPr>
          <w:rFonts w:hint="eastAsia" w:ascii="Times New Roman" w:hAnsi="Times New Roman" w:eastAsia="仿宋_GB2312" w:cs="Times New Roman"/>
          <w:b w:val="0"/>
          <w:bCs/>
          <w:color w:val="333333"/>
          <w:kern w:val="0"/>
          <w:sz w:val="32"/>
          <w:szCs w:val="28"/>
          <w:lang w:eastAsia="zh-CN"/>
        </w:rPr>
        <w:t>第六次卫生服务调查、医改监测等专项工作任务增加，工作经费相应增加</w:t>
      </w:r>
      <w:r>
        <w:rPr>
          <w:rFonts w:hint="default" w:ascii="Times New Roman" w:hAnsi="Times New Roman" w:eastAsia="仿宋_GB2312" w:cs="Times New Roman"/>
          <w:b w:val="0"/>
          <w:bCs/>
          <w:color w:val="333333"/>
          <w:kern w:val="0"/>
          <w:sz w:val="32"/>
          <w:szCs w:val="28"/>
        </w:rPr>
        <w:t>。</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2．上级补助收入</w:t>
      </w:r>
      <w:r>
        <w:rPr>
          <w:rFonts w:hint="eastAsia"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万元，比上年决算数减少</w:t>
      </w:r>
      <w:r>
        <w:rPr>
          <w:rFonts w:hint="default"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万元，主要变动情况</w:t>
      </w:r>
      <w:r>
        <w:rPr>
          <w:rFonts w:hint="eastAsia" w:ascii="Times New Roman" w:hAnsi="Times New Roman" w:eastAsia="仿宋_GB2312" w:cs="Times New Roman"/>
          <w:b w:val="0"/>
          <w:bCs/>
          <w:color w:val="333333"/>
          <w:kern w:val="0"/>
          <w:sz w:val="32"/>
          <w:szCs w:val="28"/>
          <w:lang w:eastAsia="zh-CN"/>
        </w:rPr>
        <w:t>：无</w:t>
      </w:r>
      <w:r>
        <w:rPr>
          <w:rFonts w:hint="default" w:ascii="Times New Roman" w:hAnsi="Times New Roman" w:eastAsia="仿宋_GB2312" w:cs="Times New Roman"/>
          <w:b w:val="0"/>
          <w:bCs/>
          <w:color w:val="333333"/>
          <w:kern w:val="0"/>
          <w:sz w:val="32"/>
          <w:szCs w:val="28"/>
        </w:rPr>
        <w:t>。</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3.事业收入</w:t>
      </w:r>
      <w:r>
        <w:rPr>
          <w:rFonts w:hint="eastAsia" w:ascii="Times New Roman" w:hAnsi="Times New Roman" w:eastAsia="仿宋_GB2312" w:cs="Times New Roman"/>
          <w:b w:val="0"/>
          <w:bCs/>
          <w:color w:val="333333"/>
          <w:kern w:val="0"/>
          <w:sz w:val="32"/>
          <w:szCs w:val="28"/>
          <w:lang w:val="en-US" w:eastAsia="zh-CN"/>
        </w:rPr>
        <w:t>188.32</w:t>
      </w:r>
      <w:r>
        <w:rPr>
          <w:rFonts w:hint="default" w:ascii="Times New Roman" w:hAnsi="Times New Roman" w:eastAsia="仿宋_GB2312" w:cs="Times New Roman"/>
          <w:b w:val="0"/>
          <w:bCs/>
          <w:color w:val="333333"/>
          <w:kern w:val="0"/>
          <w:sz w:val="32"/>
          <w:szCs w:val="28"/>
        </w:rPr>
        <w:t>万元，比上年决算数</w:t>
      </w:r>
      <w:r>
        <w:rPr>
          <w:rFonts w:hint="eastAsia" w:ascii="Times New Roman" w:hAnsi="Times New Roman" w:eastAsia="仿宋_GB2312" w:cs="Times New Roman"/>
          <w:b w:val="0"/>
          <w:bCs/>
          <w:color w:val="333333"/>
          <w:kern w:val="0"/>
          <w:sz w:val="32"/>
          <w:szCs w:val="28"/>
          <w:lang w:eastAsia="zh-CN"/>
        </w:rPr>
        <w:t>减少</w:t>
      </w:r>
      <w:r>
        <w:rPr>
          <w:rFonts w:hint="eastAsia" w:ascii="Times New Roman" w:hAnsi="Times New Roman" w:eastAsia="仿宋_GB2312" w:cs="Times New Roman"/>
          <w:b w:val="0"/>
          <w:bCs/>
          <w:color w:val="333333"/>
          <w:kern w:val="0"/>
          <w:sz w:val="32"/>
          <w:szCs w:val="28"/>
          <w:lang w:val="en-US" w:eastAsia="zh-CN"/>
        </w:rPr>
        <w:t>10.22</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下降</w:t>
      </w:r>
      <w:r>
        <w:rPr>
          <w:rFonts w:hint="eastAsia" w:ascii="Times New Roman" w:hAnsi="Times New Roman" w:eastAsia="仿宋_GB2312" w:cs="Times New Roman"/>
          <w:b w:val="0"/>
          <w:bCs/>
          <w:color w:val="333333"/>
          <w:kern w:val="0"/>
          <w:sz w:val="32"/>
          <w:szCs w:val="28"/>
          <w:lang w:val="en-US" w:eastAsia="zh-CN"/>
        </w:rPr>
        <w:t>5.15</w:t>
      </w:r>
      <w:r>
        <w:rPr>
          <w:rFonts w:hint="default" w:ascii="Times New Roman" w:hAnsi="Times New Roman" w:eastAsia="仿宋_GB2312" w:cs="Times New Roman"/>
          <w:b w:val="0"/>
          <w:bCs/>
          <w:color w:val="333333"/>
          <w:kern w:val="0"/>
          <w:sz w:val="32"/>
          <w:szCs w:val="28"/>
        </w:rPr>
        <w:t>%。主要变动情况：</w:t>
      </w:r>
      <w:r>
        <w:rPr>
          <w:rFonts w:hint="eastAsia" w:ascii="Times New Roman" w:hAnsi="Times New Roman" w:eastAsia="仿宋_GB2312" w:cs="Times New Roman"/>
          <w:b w:val="0"/>
          <w:bCs/>
          <w:color w:val="333333"/>
          <w:kern w:val="0"/>
          <w:sz w:val="32"/>
          <w:szCs w:val="28"/>
          <w:lang w:eastAsia="zh-CN"/>
        </w:rPr>
        <w:t>单位提供项目服务的业务减少</w:t>
      </w:r>
      <w:r>
        <w:rPr>
          <w:rFonts w:hint="default" w:ascii="Times New Roman" w:hAnsi="Times New Roman" w:eastAsia="仿宋_GB2312" w:cs="Times New Roman"/>
          <w:b w:val="0"/>
          <w:bCs/>
          <w:color w:val="333333"/>
          <w:kern w:val="0"/>
          <w:sz w:val="32"/>
          <w:szCs w:val="28"/>
        </w:rPr>
        <w:t>。</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4．经营收入0 万元，比上年决算数减少</w:t>
      </w:r>
      <w:r>
        <w:rPr>
          <w:rFonts w:hint="default"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万元，主要变动情况：</w:t>
      </w:r>
      <w:r>
        <w:rPr>
          <w:rFonts w:hint="default" w:ascii="Times New Roman" w:hAnsi="Times New Roman" w:eastAsia="仿宋_GB2312" w:cs="Times New Roman"/>
          <w:b w:val="0"/>
          <w:bCs/>
          <w:color w:val="333333"/>
          <w:kern w:val="0"/>
          <w:sz w:val="32"/>
          <w:szCs w:val="28"/>
          <w:lang w:eastAsia="zh-CN"/>
        </w:rPr>
        <w:t>无</w:t>
      </w:r>
      <w:r>
        <w:rPr>
          <w:rFonts w:hint="default" w:ascii="Times New Roman" w:hAnsi="Times New Roman" w:eastAsia="仿宋_GB2312" w:cs="Times New Roman"/>
          <w:b w:val="0"/>
          <w:bCs/>
          <w:color w:val="333333"/>
          <w:kern w:val="0"/>
          <w:sz w:val="32"/>
          <w:szCs w:val="28"/>
        </w:rPr>
        <w:t>。</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 w:cs="Times New Roman"/>
          <w:color w:val="000000"/>
          <w:sz w:val="28"/>
        </w:rPr>
      </w:pPr>
      <w:r>
        <w:rPr>
          <w:rFonts w:hint="default" w:ascii="Times New Roman" w:hAnsi="Times New Roman" w:eastAsia="仿宋_GB2312" w:cs="Times New Roman"/>
          <w:b w:val="0"/>
          <w:bCs/>
          <w:color w:val="333333"/>
          <w:kern w:val="0"/>
          <w:sz w:val="32"/>
          <w:szCs w:val="28"/>
        </w:rPr>
        <w:t>5．其他收入</w:t>
      </w:r>
      <w:r>
        <w:rPr>
          <w:rFonts w:hint="eastAsia" w:ascii="Times New Roman" w:hAnsi="Times New Roman" w:eastAsia="仿宋_GB2312" w:cs="Times New Roman"/>
          <w:b w:val="0"/>
          <w:bCs/>
          <w:color w:val="333333"/>
          <w:kern w:val="0"/>
          <w:sz w:val="32"/>
          <w:szCs w:val="28"/>
          <w:lang w:val="en-US" w:eastAsia="zh-CN"/>
        </w:rPr>
        <w:t>12.58</w:t>
      </w:r>
      <w:r>
        <w:rPr>
          <w:rFonts w:hint="default" w:ascii="Times New Roman" w:hAnsi="Times New Roman" w:eastAsia="仿宋_GB2312" w:cs="Times New Roman"/>
          <w:b w:val="0"/>
          <w:bCs/>
          <w:color w:val="333333"/>
          <w:kern w:val="0"/>
          <w:sz w:val="32"/>
          <w:szCs w:val="28"/>
        </w:rPr>
        <w:t>万元，比上年决算数</w:t>
      </w:r>
      <w:r>
        <w:rPr>
          <w:rFonts w:hint="eastAsia" w:ascii="Times New Roman" w:hAnsi="Times New Roman" w:eastAsia="仿宋_GB2312" w:cs="Times New Roman"/>
          <w:b w:val="0"/>
          <w:bCs/>
          <w:color w:val="333333"/>
          <w:kern w:val="0"/>
          <w:sz w:val="32"/>
          <w:szCs w:val="28"/>
          <w:lang w:eastAsia="zh-CN"/>
        </w:rPr>
        <w:t>减少</w:t>
      </w:r>
      <w:r>
        <w:rPr>
          <w:rFonts w:hint="eastAsia" w:ascii="Times New Roman" w:hAnsi="Times New Roman" w:eastAsia="仿宋_GB2312" w:cs="Times New Roman"/>
          <w:b w:val="0"/>
          <w:bCs/>
          <w:color w:val="333333"/>
          <w:kern w:val="0"/>
          <w:sz w:val="32"/>
          <w:szCs w:val="28"/>
          <w:lang w:val="en-US" w:eastAsia="zh-CN"/>
        </w:rPr>
        <w:t>1.71</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下降</w:t>
      </w:r>
      <w:r>
        <w:rPr>
          <w:rFonts w:hint="eastAsia" w:ascii="Times New Roman" w:hAnsi="Times New Roman" w:eastAsia="仿宋_GB2312" w:cs="Times New Roman"/>
          <w:b w:val="0"/>
          <w:bCs/>
          <w:color w:val="333333"/>
          <w:kern w:val="0"/>
          <w:sz w:val="32"/>
          <w:szCs w:val="28"/>
          <w:lang w:val="en-US" w:eastAsia="zh-CN"/>
        </w:rPr>
        <w:t>11.97</w:t>
      </w:r>
      <w:r>
        <w:rPr>
          <w:rFonts w:hint="default" w:ascii="Times New Roman" w:hAnsi="Times New Roman" w:eastAsia="仿宋_GB2312" w:cs="Times New Roman"/>
          <w:b w:val="0"/>
          <w:bCs/>
          <w:color w:val="333333"/>
          <w:kern w:val="0"/>
          <w:sz w:val="32"/>
          <w:szCs w:val="28"/>
        </w:rPr>
        <w:t>%。主要变动情况：银行利息收入</w:t>
      </w:r>
      <w:r>
        <w:rPr>
          <w:rFonts w:hint="eastAsia" w:ascii="Times New Roman" w:hAnsi="Times New Roman" w:eastAsia="仿宋_GB2312" w:cs="Times New Roman"/>
          <w:b w:val="0"/>
          <w:bCs/>
          <w:color w:val="333333"/>
          <w:kern w:val="0"/>
          <w:sz w:val="32"/>
          <w:szCs w:val="28"/>
          <w:lang w:eastAsia="zh-CN"/>
        </w:rPr>
        <w:t>减少</w:t>
      </w:r>
      <w:r>
        <w:rPr>
          <w:rFonts w:hint="default" w:ascii="Times New Roman" w:hAnsi="Times New Roman" w:eastAsia="仿宋" w:cs="Times New Roman"/>
          <w:color w:val="000000"/>
          <w:sz w:val="28"/>
        </w:rPr>
        <w:t>。</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（二）年度支出总体情况</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省</w:t>
      </w:r>
      <w:r>
        <w:rPr>
          <w:rFonts w:hint="eastAsia" w:ascii="Times New Roman" w:hAnsi="Times New Roman" w:eastAsia="仿宋_GB2312" w:cs="Times New Roman"/>
          <w:b w:val="0"/>
          <w:bCs/>
          <w:color w:val="333333"/>
          <w:kern w:val="0"/>
          <w:sz w:val="32"/>
          <w:szCs w:val="28"/>
          <w:lang w:eastAsia="zh-CN"/>
        </w:rPr>
        <w:t>卫生健康委员会政务服务中心2018年</w:t>
      </w:r>
      <w:r>
        <w:rPr>
          <w:rFonts w:hint="default" w:ascii="Times New Roman" w:hAnsi="Times New Roman" w:eastAsia="仿宋_GB2312" w:cs="Times New Roman"/>
          <w:b w:val="0"/>
          <w:bCs/>
          <w:color w:val="333333"/>
          <w:kern w:val="0"/>
          <w:sz w:val="32"/>
          <w:szCs w:val="28"/>
        </w:rPr>
        <w:t>度总支出</w:t>
      </w:r>
      <w:r>
        <w:rPr>
          <w:rFonts w:hint="eastAsia" w:ascii="Times New Roman" w:hAnsi="Times New Roman" w:eastAsia="仿宋_GB2312" w:cs="Times New Roman"/>
          <w:b w:val="0"/>
          <w:bCs/>
          <w:color w:val="333333"/>
          <w:kern w:val="0"/>
          <w:sz w:val="32"/>
          <w:szCs w:val="28"/>
          <w:lang w:val="en-US" w:eastAsia="zh-CN"/>
        </w:rPr>
        <w:t>2,169.36</w:t>
      </w:r>
      <w:r>
        <w:rPr>
          <w:rFonts w:hint="default" w:ascii="Times New Roman" w:hAnsi="Times New Roman" w:eastAsia="仿宋_GB2312" w:cs="Times New Roman"/>
          <w:b w:val="0"/>
          <w:bCs/>
          <w:color w:val="333333"/>
          <w:kern w:val="0"/>
          <w:sz w:val="32"/>
          <w:szCs w:val="28"/>
        </w:rPr>
        <w:t>万元，其中本年支出</w:t>
      </w:r>
      <w:r>
        <w:rPr>
          <w:rFonts w:hint="eastAsia" w:ascii="Times New Roman" w:hAnsi="Times New Roman" w:eastAsia="仿宋_GB2312" w:cs="Times New Roman"/>
          <w:b w:val="0"/>
          <w:bCs/>
          <w:color w:val="333333"/>
          <w:kern w:val="0"/>
          <w:sz w:val="32"/>
          <w:szCs w:val="28"/>
          <w:lang w:val="en-US" w:eastAsia="zh-CN"/>
        </w:rPr>
        <w:t>1,962.86</w:t>
      </w:r>
      <w:r>
        <w:rPr>
          <w:rFonts w:hint="default" w:ascii="Times New Roman" w:hAnsi="Times New Roman" w:eastAsia="仿宋_GB2312" w:cs="Times New Roman"/>
          <w:b w:val="0"/>
          <w:bCs/>
          <w:color w:val="333333"/>
          <w:kern w:val="0"/>
          <w:sz w:val="32"/>
          <w:szCs w:val="28"/>
        </w:rPr>
        <w:t>万元。具体情况如下：</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1.基本支出</w:t>
      </w:r>
      <w:r>
        <w:rPr>
          <w:rFonts w:hint="eastAsia" w:ascii="Times New Roman" w:hAnsi="Times New Roman" w:eastAsia="仿宋_GB2312" w:cs="Times New Roman"/>
          <w:b w:val="0"/>
          <w:bCs/>
          <w:color w:val="333333"/>
          <w:kern w:val="0"/>
          <w:sz w:val="32"/>
          <w:szCs w:val="28"/>
          <w:lang w:val="en-US" w:eastAsia="zh-CN"/>
        </w:rPr>
        <w:t>710.87</w:t>
      </w:r>
      <w:r>
        <w:rPr>
          <w:rFonts w:hint="default" w:ascii="Times New Roman" w:hAnsi="Times New Roman" w:eastAsia="仿宋_GB2312" w:cs="Times New Roman"/>
          <w:b w:val="0"/>
          <w:bCs/>
          <w:color w:val="333333"/>
          <w:kern w:val="0"/>
          <w:sz w:val="32"/>
          <w:szCs w:val="28"/>
        </w:rPr>
        <w:t>万元，比上年决算数增加</w:t>
      </w:r>
      <w:r>
        <w:rPr>
          <w:rFonts w:hint="eastAsia" w:ascii="Times New Roman" w:hAnsi="Times New Roman" w:eastAsia="仿宋_GB2312" w:cs="Times New Roman"/>
          <w:b w:val="0"/>
          <w:bCs/>
          <w:color w:val="333333"/>
          <w:kern w:val="0"/>
          <w:sz w:val="32"/>
          <w:szCs w:val="28"/>
          <w:lang w:val="en-US" w:eastAsia="zh-CN"/>
        </w:rPr>
        <w:t>15.29</w:t>
      </w:r>
      <w:r>
        <w:rPr>
          <w:rFonts w:hint="default" w:ascii="Times New Roman" w:hAnsi="Times New Roman" w:eastAsia="仿宋_GB2312" w:cs="Times New Roman"/>
          <w:b w:val="0"/>
          <w:bCs/>
          <w:color w:val="333333"/>
          <w:kern w:val="0"/>
          <w:sz w:val="32"/>
          <w:szCs w:val="28"/>
        </w:rPr>
        <w:t>万元，增长</w:t>
      </w:r>
      <w:r>
        <w:rPr>
          <w:rFonts w:hint="eastAsia" w:ascii="Times New Roman" w:hAnsi="Times New Roman" w:eastAsia="仿宋_GB2312" w:cs="Times New Roman"/>
          <w:b w:val="0"/>
          <w:bCs/>
          <w:color w:val="333333"/>
          <w:kern w:val="0"/>
          <w:sz w:val="32"/>
          <w:szCs w:val="28"/>
          <w:lang w:val="en-US" w:eastAsia="zh-CN"/>
        </w:rPr>
        <w:t>2.19</w:t>
      </w:r>
      <w:r>
        <w:rPr>
          <w:rFonts w:hint="default" w:ascii="Times New Roman" w:hAnsi="Times New Roman" w:eastAsia="仿宋_GB2312" w:cs="Times New Roman"/>
          <w:b w:val="0"/>
          <w:bCs/>
          <w:color w:val="333333"/>
          <w:kern w:val="0"/>
          <w:sz w:val="32"/>
          <w:szCs w:val="28"/>
        </w:rPr>
        <w:t>%，主要变动情况：</w:t>
      </w:r>
      <w:r>
        <w:rPr>
          <w:rFonts w:hint="eastAsia" w:ascii="Times New Roman" w:hAnsi="Times New Roman" w:eastAsia="仿宋_GB2312" w:cs="Times New Roman"/>
          <w:b w:val="0"/>
          <w:bCs/>
          <w:color w:val="333333"/>
          <w:kern w:val="0"/>
          <w:sz w:val="32"/>
          <w:szCs w:val="28"/>
          <w:lang w:eastAsia="zh-CN"/>
        </w:rPr>
        <w:t>2018年</w:t>
      </w:r>
      <w:r>
        <w:rPr>
          <w:rFonts w:hint="default" w:ascii="Times New Roman" w:hAnsi="Times New Roman" w:eastAsia="仿宋_GB2312" w:cs="Times New Roman"/>
          <w:b w:val="0"/>
          <w:bCs/>
          <w:color w:val="333333"/>
          <w:kern w:val="0"/>
          <w:sz w:val="32"/>
          <w:szCs w:val="28"/>
        </w:rPr>
        <w:t>度工资福利略有增加。</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lang w:eastAsia="zh-CN"/>
        </w:rPr>
      </w:pPr>
      <w:r>
        <w:rPr>
          <w:rFonts w:hint="default" w:ascii="Times New Roman" w:hAnsi="Times New Roman" w:eastAsia="仿宋_GB2312" w:cs="Times New Roman"/>
          <w:b w:val="0"/>
          <w:bCs/>
          <w:color w:val="333333"/>
          <w:kern w:val="0"/>
          <w:sz w:val="32"/>
          <w:szCs w:val="28"/>
        </w:rPr>
        <w:t>2.项目支出</w:t>
      </w:r>
      <w:r>
        <w:rPr>
          <w:rFonts w:hint="eastAsia" w:ascii="Times New Roman" w:hAnsi="Times New Roman" w:eastAsia="仿宋_GB2312" w:cs="Times New Roman"/>
          <w:b w:val="0"/>
          <w:bCs/>
          <w:color w:val="333333"/>
          <w:kern w:val="0"/>
          <w:sz w:val="32"/>
          <w:szCs w:val="28"/>
          <w:lang w:val="en-US" w:eastAsia="zh-CN"/>
        </w:rPr>
        <w:t>1,251.99</w:t>
      </w:r>
      <w:r>
        <w:rPr>
          <w:rFonts w:hint="default" w:ascii="Times New Roman" w:hAnsi="Times New Roman" w:eastAsia="仿宋_GB2312" w:cs="Times New Roman"/>
          <w:b w:val="0"/>
          <w:bCs/>
          <w:color w:val="333333"/>
          <w:kern w:val="0"/>
          <w:sz w:val="32"/>
          <w:szCs w:val="28"/>
        </w:rPr>
        <w:t>万元，比上年决算数</w:t>
      </w:r>
      <w:r>
        <w:rPr>
          <w:rFonts w:hint="eastAsia" w:ascii="Times New Roman" w:hAnsi="Times New Roman" w:eastAsia="仿宋_GB2312" w:cs="Times New Roman"/>
          <w:b w:val="0"/>
          <w:bCs/>
          <w:color w:val="333333"/>
          <w:kern w:val="0"/>
          <w:sz w:val="32"/>
          <w:szCs w:val="28"/>
          <w:lang w:eastAsia="zh-CN"/>
        </w:rPr>
        <w:t>增加</w:t>
      </w:r>
      <w:r>
        <w:rPr>
          <w:rFonts w:hint="eastAsia" w:ascii="Times New Roman" w:hAnsi="Times New Roman" w:eastAsia="仿宋_GB2312" w:cs="Times New Roman"/>
          <w:b w:val="0"/>
          <w:bCs/>
          <w:color w:val="333333"/>
          <w:kern w:val="0"/>
          <w:sz w:val="32"/>
          <w:szCs w:val="28"/>
          <w:lang w:val="en-US" w:eastAsia="zh-CN"/>
        </w:rPr>
        <w:t>226.09</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增长</w:t>
      </w:r>
      <w:r>
        <w:rPr>
          <w:rFonts w:hint="eastAsia" w:ascii="Times New Roman" w:hAnsi="Times New Roman" w:eastAsia="仿宋_GB2312" w:cs="Times New Roman"/>
          <w:b w:val="0"/>
          <w:bCs/>
          <w:color w:val="333333"/>
          <w:kern w:val="0"/>
          <w:sz w:val="32"/>
          <w:szCs w:val="28"/>
          <w:lang w:val="en-US" w:eastAsia="zh-CN"/>
        </w:rPr>
        <w:t>22.04</w:t>
      </w:r>
      <w:r>
        <w:rPr>
          <w:rFonts w:hint="default" w:ascii="Times New Roman" w:hAnsi="Times New Roman" w:eastAsia="仿宋_GB2312" w:cs="Times New Roman"/>
          <w:b w:val="0"/>
          <w:bCs/>
          <w:color w:val="333333"/>
          <w:kern w:val="0"/>
          <w:sz w:val="32"/>
          <w:szCs w:val="28"/>
        </w:rPr>
        <w:t>%，主要变动情况：</w:t>
      </w:r>
      <w:r>
        <w:rPr>
          <w:rFonts w:hint="eastAsia" w:ascii="Times New Roman" w:hAnsi="Times New Roman" w:eastAsia="仿宋_GB2312" w:cs="Times New Roman"/>
          <w:b w:val="0"/>
          <w:bCs/>
          <w:color w:val="333333"/>
          <w:kern w:val="0"/>
          <w:sz w:val="32"/>
          <w:szCs w:val="28"/>
          <w:lang w:eastAsia="zh-CN"/>
        </w:rPr>
        <w:t>跟上年度对比，主要是第六次卫生服务调查、医改监测等专项工作任务增加及车辆购置经费增加</w:t>
      </w:r>
      <w:r>
        <w:rPr>
          <w:rFonts w:hint="default" w:ascii="Times New Roman" w:hAnsi="Times New Roman" w:eastAsia="仿宋_GB2312" w:cs="Times New Roman"/>
          <w:b w:val="0"/>
          <w:bCs/>
          <w:color w:val="333333"/>
          <w:kern w:val="0"/>
          <w:sz w:val="32"/>
          <w:szCs w:val="28"/>
          <w:lang w:eastAsia="zh-CN"/>
        </w:rPr>
        <w:t>。</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3.上缴上级支出0万元，</w:t>
      </w:r>
      <w:r>
        <w:rPr>
          <w:rFonts w:hint="eastAsia" w:ascii="Times New Roman" w:hAnsi="Times New Roman" w:eastAsia="仿宋_GB2312" w:cs="Times New Roman"/>
          <w:b w:val="0"/>
          <w:bCs/>
          <w:color w:val="333333"/>
          <w:kern w:val="0"/>
          <w:sz w:val="32"/>
          <w:szCs w:val="28"/>
          <w:lang w:eastAsia="zh-CN"/>
        </w:rPr>
        <w:t>跟</w:t>
      </w:r>
      <w:r>
        <w:rPr>
          <w:rFonts w:hint="default" w:ascii="Times New Roman" w:hAnsi="Times New Roman" w:eastAsia="仿宋_GB2312" w:cs="Times New Roman"/>
          <w:b w:val="0"/>
          <w:bCs/>
          <w:color w:val="333333"/>
          <w:kern w:val="0"/>
          <w:sz w:val="32"/>
          <w:szCs w:val="28"/>
        </w:rPr>
        <w:t>上年决算数</w:t>
      </w:r>
      <w:r>
        <w:rPr>
          <w:rFonts w:hint="eastAsia" w:ascii="Times New Roman" w:hAnsi="Times New Roman" w:eastAsia="仿宋_GB2312" w:cs="Times New Roman"/>
          <w:b w:val="0"/>
          <w:bCs/>
          <w:color w:val="333333"/>
          <w:kern w:val="0"/>
          <w:sz w:val="32"/>
          <w:szCs w:val="28"/>
          <w:lang w:eastAsia="zh-CN"/>
        </w:rPr>
        <w:t>对比，无增减变化</w:t>
      </w:r>
      <w:r>
        <w:rPr>
          <w:rFonts w:hint="default" w:ascii="Times New Roman" w:hAnsi="Times New Roman" w:eastAsia="仿宋_GB2312" w:cs="Times New Roman"/>
          <w:b w:val="0"/>
          <w:bCs/>
          <w:color w:val="333333"/>
          <w:kern w:val="0"/>
          <w:sz w:val="32"/>
          <w:szCs w:val="28"/>
        </w:rPr>
        <w:t>。</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4.经营支出0万元，</w:t>
      </w:r>
      <w:r>
        <w:rPr>
          <w:rFonts w:hint="eastAsia" w:ascii="Times New Roman" w:hAnsi="Times New Roman" w:eastAsia="仿宋_GB2312" w:cs="Times New Roman"/>
          <w:b w:val="0"/>
          <w:bCs/>
          <w:color w:val="333333"/>
          <w:kern w:val="0"/>
          <w:sz w:val="32"/>
          <w:szCs w:val="28"/>
          <w:lang w:eastAsia="zh-CN"/>
        </w:rPr>
        <w:t>跟</w:t>
      </w:r>
      <w:r>
        <w:rPr>
          <w:rFonts w:hint="default" w:ascii="Times New Roman" w:hAnsi="Times New Roman" w:eastAsia="仿宋_GB2312" w:cs="Times New Roman"/>
          <w:b w:val="0"/>
          <w:bCs/>
          <w:color w:val="333333"/>
          <w:kern w:val="0"/>
          <w:sz w:val="32"/>
          <w:szCs w:val="28"/>
        </w:rPr>
        <w:t>上年决算数</w:t>
      </w:r>
      <w:r>
        <w:rPr>
          <w:rFonts w:hint="eastAsia" w:ascii="Times New Roman" w:hAnsi="Times New Roman" w:eastAsia="仿宋_GB2312" w:cs="Times New Roman"/>
          <w:b w:val="0"/>
          <w:bCs/>
          <w:color w:val="333333"/>
          <w:kern w:val="0"/>
          <w:sz w:val="32"/>
          <w:szCs w:val="28"/>
          <w:lang w:eastAsia="zh-CN"/>
        </w:rPr>
        <w:t>对比，无增减变化</w:t>
      </w:r>
      <w:r>
        <w:rPr>
          <w:rFonts w:hint="default" w:ascii="Times New Roman" w:hAnsi="Times New Roman" w:eastAsia="仿宋_GB2312" w:cs="Times New Roman"/>
          <w:b w:val="0"/>
          <w:bCs/>
          <w:color w:val="333333"/>
          <w:kern w:val="0"/>
          <w:sz w:val="32"/>
          <w:szCs w:val="28"/>
        </w:rPr>
        <w:t>。</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5.对附属单位补助支出0 万元，</w:t>
      </w:r>
      <w:r>
        <w:rPr>
          <w:rFonts w:hint="eastAsia" w:ascii="Times New Roman" w:hAnsi="Times New Roman" w:eastAsia="仿宋_GB2312" w:cs="Times New Roman"/>
          <w:b w:val="0"/>
          <w:bCs/>
          <w:color w:val="333333"/>
          <w:kern w:val="0"/>
          <w:sz w:val="32"/>
          <w:szCs w:val="28"/>
          <w:lang w:eastAsia="zh-CN"/>
        </w:rPr>
        <w:t>跟</w:t>
      </w:r>
      <w:r>
        <w:rPr>
          <w:rFonts w:hint="default" w:ascii="Times New Roman" w:hAnsi="Times New Roman" w:eastAsia="仿宋_GB2312" w:cs="Times New Roman"/>
          <w:b w:val="0"/>
          <w:bCs/>
          <w:color w:val="333333"/>
          <w:kern w:val="0"/>
          <w:sz w:val="32"/>
          <w:szCs w:val="28"/>
        </w:rPr>
        <w:t>上年决算数</w:t>
      </w:r>
      <w:r>
        <w:rPr>
          <w:rFonts w:hint="eastAsia" w:ascii="Times New Roman" w:hAnsi="Times New Roman" w:eastAsia="仿宋_GB2312" w:cs="Times New Roman"/>
          <w:b w:val="0"/>
          <w:bCs/>
          <w:color w:val="333333"/>
          <w:kern w:val="0"/>
          <w:sz w:val="32"/>
          <w:szCs w:val="28"/>
          <w:lang w:eastAsia="zh-CN"/>
        </w:rPr>
        <w:t>对比，无增减变化</w:t>
      </w:r>
      <w:r>
        <w:rPr>
          <w:rFonts w:hint="default" w:ascii="Times New Roman" w:hAnsi="Times New Roman" w:eastAsia="仿宋_GB2312" w:cs="Times New Roman"/>
          <w:b w:val="0"/>
          <w:bCs/>
          <w:color w:val="333333"/>
          <w:kern w:val="0"/>
          <w:sz w:val="32"/>
          <w:szCs w:val="28"/>
        </w:rPr>
        <w:t>。</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（一）</w:t>
      </w:r>
      <w:r>
        <w:rPr>
          <w:rFonts w:hint="eastAsia" w:ascii="Times New Roman" w:hAnsi="Times New Roman" w:eastAsia="楷体_GB2312" w:cs="Times New Roman"/>
          <w:b w:val="0"/>
          <w:bCs/>
          <w:color w:val="000000"/>
          <w:sz w:val="32"/>
          <w:lang w:eastAsia="zh-CN"/>
        </w:rPr>
        <w:t>2018年</w:t>
      </w:r>
      <w:r>
        <w:rPr>
          <w:rFonts w:hint="default" w:ascii="Times New Roman" w:hAnsi="Times New Roman" w:eastAsia="楷体_GB2312" w:cs="Times New Roman"/>
          <w:b w:val="0"/>
          <w:bCs/>
          <w:color w:val="000000"/>
          <w:sz w:val="32"/>
        </w:rPr>
        <w:t>度财政拨款收入说明</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省</w:t>
      </w:r>
      <w:r>
        <w:rPr>
          <w:rFonts w:hint="eastAsia" w:ascii="Times New Roman" w:hAnsi="Times New Roman" w:eastAsia="仿宋_GB2312" w:cs="Times New Roman"/>
          <w:b w:val="0"/>
          <w:bCs/>
          <w:color w:val="333333"/>
          <w:kern w:val="0"/>
          <w:sz w:val="32"/>
          <w:szCs w:val="28"/>
          <w:lang w:eastAsia="zh-CN"/>
        </w:rPr>
        <w:t>卫生健康委员会政务服务中心2018年</w:t>
      </w:r>
      <w:r>
        <w:rPr>
          <w:rFonts w:hint="default" w:ascii="Times New Roman" w:hAnsi="Times New Roman" w:eastAsia="仿宋_GB2312" w:cs="Times New Roman"/>
          <w:b w:val="0"/>
          <w:bCs/>
          <w:color w:val="333333"/>
          <w:kern w:val="0"/>
          <w:sz w:val="32"/>
          <w:szCs w:val="28"/>
        </w:rPr>
        <w:t>度财政拨款收入合计</w:t>
      </w:r>
      <w:r>
        <w:rPr>
          <w:rFonts w:hint="eastAsia" w:ascii="Times New Roman" w:hAnsi="Times New Roman" w:eastAsia="仿宋_GB2312" w:cs="Times New Roman"/>
          <w:b w:val="0"/>
          <w:bCs/>
          <w:color w:val="333333"/>
          <w:kern w:val="0"/>
          <w:sz w:val="32"/>
          <w:szCs w:val="28"/>
          <w:lang w:val="en-US" w:eastAsia="zh-CN"/>
        </w:rPr>
        <w:t>1,784.45</w:t>
      </w:r>
      <w:r>
        <w:rPr>
          <w:rFonts w:hint="default" w:ascii="Times New Roman" w:hAnsi="Times New Roman" w:eastAsia="仿宋_GB2312" w:cs="Times New Roman"/>
          <w:b w:val="0"/>
          <w:bCs/>
          <w:color w:val="333333"/>
          <w:kern w:val="0"/>
          <w:sz w:val="32"/>
          <w:szCs w:val="28"/>
        </w:rPr>
        <w:t>万元。其中：一般公共预算财政拨款收入</w:t>
      </w:r>
      <w:r>
        <w:rPr>
          <w:rFonts w:hint="eastAsia" w:ascii="Times New Roman" w:hAnsi="Times New Roman" w:eastAsia="仿宋_GB2312" w:cs="Times New Roman"/>
          <w:b w:val="0"/>
          <w:bCs/>
          <w:color w:val="333333"/>
          <w:kern w:val="0"/>
          <w:sz w:val="32"/>
          <w:szCs w:val="28"/>
          <w:lang w:val="en-US" w:eastAsia="zh-CN"/>
        </w:rPr>
        <w:t>1,784.45</w:t>
      </w:r>
      <w:r>
        <w:rPr>
          <w:rFonts w:hint="default" w:ascii="Times New Roman" w:hAnsi="Times New Roman" w:eastAsia="仿宋_GB2312" w:cs="Times New Roman"/>
          <w:b w:val="0"/>
          <w:bCs/>
          <w:color w:val="333333"/>
          <w:kern w:val="0"/>
          <w:sz w:val="32"/>
          <w:szCs w:val="28"/>
        </w:rPr>
        <w:t xml:space="preserve"> 万元，比上年决算数</w:t>
      </w:r>
      <w:r>
        <w:rPr>
          <w:rFonts w:hint="eastAsia" w:ascii="Times New Roman" w:hAnsi="Times New Roman" w:eastAsia="仿宋_GB2312" w:cs="Times New Roman"/>
          <w:b w:val="0"/>
          <w:bCs/>
          <w:color w:val="333333"/>
          <w:kern w:val="0"/>
          <w:sz w:val="32"/>
          <w:szCs w:val="28"/>
          <w:lang w:eastAsia="zh-CN"/>
        </w:rPr>
        <w:t>增加</w:t>
      </w:r>
      <w:r>
        <w:rPr>
          <w:rFonts w:hint="eastAsia" w:ascii="Times New Roman" w:hAnsi="Times New Roman" w:eastAsia="仿宋_GB2312" w:cs="Times New Roman"/>
          <w:b w:val="0"/>
          <w:bCs/>
          <w:color w:val="333333"/>
          <w:kern w:val="0"/>
          <w:sz w:val="32"/>
          <w:szCs w:val="28"/>
          <w:lang w:val="en-US" w:eastAsia="zh-CN"/>
        </w:rPr>
        <w:t>343.61</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增长</w:t>
      </w:r>
      <w:r>
        <w:rPr>
          <w:rFonts w:hint="eastAsia" w:ascii="Times New Roman" w:hAnsi="Times New Roman" w:eastAsia="仿宋_GB2312" w:cs="Times New Roman"/>
          <w:b w:val="0"/>
          <w:bCs/>
          <w:color w:val="333333"/>
          <w:kern w:val="0"/>
          <w:sz w:val="32"/>
          <w:szCs w:val="28"/>
          <w:lang w:val="en-US" w:eastAsia="zh-CN"/>
        </w:rPr>
        <w:t>23.85</w:t>
      </w:r>
      <w:r>
        <w:rPr>
          <w:rFonts w:hint="default" w:ascii="Times New Roman" w:hAnsi="Times New Roman" w:eastAsia="仿宋_GB2312" w:cs="Times New Roman"/>
          <w:b w:val="0"/>
          <w:bCs/>
          <w:color w:val="333333"/>
          <w:kern w:val="0"/>
          <w:sz w:val="32"/>
          <w:szCs w:val="28"/>
        </w:rPr>
        <w:t xml:space="preserve"> %。主要变动情况：</w:t>
      </w:r>
      <w:r>
        <w:rPr>
          <w:rFonts w:hint="eastAsia" w:ascii="Times New Roman" w:hAnsi="Times New Roman" w:eastAsia="仿宋_GB2312" w:cs="Times New Roman"/>
          <w:b w:val="0"/>
          <w:bCs/>
          <w:color w:val="333333"/>
          <w:kern w:val="0"/>
          <w:sz w:val="32"/>
          <w:szCs w:val="28"/>
          <w:lang w:eastAsia="zh-CN"/>
        </w:rPr>
        <w:t>第六次卫生服务调查、医改监测等专项工作任务增加，工作经费相应增加</w:t>
      </w:r>
      <w:r>
        <w:rPr>
          <w:rFonts w:hint="default" w:ascii="Times New Roman" w:hAnsi="Times New Roman" w:eastAsia="仿宋_GB2312" w:cs="Times New Roman"/>
          <w:b w:val="0"/>
          <w:bCs/>
          <w:color w:val="333333"/>
          <w:kern w:val="0"/>
          <w:sz w:val="32"/>
          <w:szCs w:val="28"/>
        </w:rPr>
        <w:t>；政府性基金预算财政拨款收入 0万元，</w:t>
      </w:r>
      <w:r>
        <w:rPr>
          <w:rFonts w:hint="eastAsia" w:ascii="Times New Roman" w:hAnsi="Times New Roman" w:eastAsia="仿宋_GB2312" w:cs="Times New Roman"/>
          <w:b w:val="0"/>
          <w:bCs/>
          <w:color w:val="333333"/>
          <w:kern w:val="0"/>
          <w:sz w:val="32"/>
          <w:szCs w:val="28"/>
          <w:lang w:eastAsia="zh-CN"/>
        </w:rPr>
        <w:t>跟</w:t>
      </w:r>
      <w:r>
        <w:rPr>
          <w:rFonts w:hint="default" w:ascii="Times New Roman" w:hAnsi="Times New Roman" w:eastAsia="仿宋_GB2312" w:cs="Times New Roman"/>
          <w:b w:val="0"/>
          <w:bCs/>
          <w:color w:val="333333"/>
          <w:kern w:val="0"/>
          <w:sz w:val="32"/>
          <w:szCs w:val="28"/>
        </w:rPr>
        <w:t>上年决算数</w:t>
      </w:r>
      <w:r>
        <w:rPr>
          <w:rFonts w:hint="eastAsia" w:ascii="Times New Roman" w:hAnsi="Times New Roman" w:eastAsia="仿宋_GB2312" w:cs="Times New Roman"/>
          <w:b w:val="0"/>
          <w:bCs/>
          <w:color w:val="333333"/>
          <w:kern w:val="0"/>
          <w:sz w:val="32"/>
          <w:szCs w:val="28"/>
          <w:lang w:eastAsia="zh-CN"/>
        </w:rPr>
        <w:t>对比，无增减变化</w:t>
      </w:r>
      <w:r>
        <w:rPr>
          <w:rFonts w:hint="default" w:ascii="Times New Roman" w:hAnsi="Times New Roman" w:eastAsia="仿宋_GB2312" w:cs="Times New Roman"/>
          <w:b w:val="0"/>
          <w:bCs/>
          <w:color w:val="333333"/>
          <w:kern w:val="0"/>
          <w:sz w:val="32"/>
          <w:szCs w:val="28"/>
        </w:rPr>
        <w:t>。</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（二）</w:t>
      </w:r>
      <w:r>
        <w:rPr>
          <w:rFonts w:hint="eastAsia" w:ascii="Times New Roman" w:hAnsi="Times New Roman" w:eastAsia="楷体_GB2312" w:cs="Times New Roman"/>
          <w:b w:val="0"/>
          <w:bCs/>
          <w:color w:val="000000"/>
          <w:sz w:val="32"/>
          <w:lang w:eastAsia="zh-CN"/>
        </w:rPr>
        <w:t>2018年</w:t>
      </w:r>
      <w:r>
        <w:rPr>
          <w:rFonts w:hint="default" w:ascii="Times New Roman" w:hAnsi="Times New Roman" w:eastAsia="楷体_GB2312" w:cs="Times New Roman"/>
          <w:b w:val="0"/>
          <w:bCs/>
          <w:color w:val="000000"/>
          <w:sz w:val="32"/>
        </w:rPr>
        <w:t>度财政拨款支出说明</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省</w:t>
      </w:r>
      <w:r>
        <w:rPr>
          <w:rFonts w:hint="eastAsia" w:ascii="Times New Roman" w:hAnsi="Times New Roman" w:eastAsia="仿宋_GB2312" w:cs="Times New Roman"/>
          <w:b w:val="0"/>
          <w:bCs/>
          <w:color w:val="333333"/>
          <w:kern w:val="0"/>
          <w:sz w:val="32"/>
          <w:szCs w:val="28"/>
          <w:lang w:eastAsia="zh-CN"/>
        </w:rPr>
        <w:t>卫生健康委员会政务服务中心2018年</w:t>
      </w:r>
      <w:r>
        <w:rPr>
          <w:rFonts w:hint="default" w:ascii="Times New Roman" w:hAnsi="Times New Roman" w:eastAsia="仿宋_GB2312" w:cs="Times New Roman"/>
          <w:b w:val="0"/>
          <w:bCs/>
          <w:color w:val="333333"/>
          <w:kern w:val="0"/>
          <w:sz w:val="32"/>
          <w:szCs w:val="28"/>
        </w:rPr>
        <w:t xml:space="preserve">度财政拨款支出合计 </w:t>
      </w:r>
      <w:r>
        <w:rPr>
          <w:rFonts w:hint="eastAsia" w:ascii="Times New Roman" w:hAnsi="Times New Roman" w:eastAsia="仿宋_GB2312" w:cs="Times New Roman"/>
          <w:b w:val="0"/>
          <w:bCs/>
          <w:color w:val="333333"/>
          <w:kern w:val="0"/>
          <w:sz w:val="32"/>
          <w:szCs w:val="28"/>
          <w:lang w:val="en-US" w:eastAsia="zh-CN"/>
        </w:rPr>
        <w:t>1,673.89</w:t>
      </w:r>
      <w:r>
        <w:rPr>
          <w:rFonts w:hint="default" w:ascii="Times New Roman" w:hAnsi="Times New Roman" w:eastAsia="仿宋_GB2312" w:cs="Times New Roman"/>
          <w:b w:val="0"/>
          <w:bCs/>
          <w:color w:val="333333"/>
          <w:kern w:val="0"/>
          <w:sz w:val="32"/>
          <w:szCs w:val="28"/>
        </w:rPr>
        <w:t xml:space="preserve">万元。其中：一般公共预算财政拨款支出 </w:t>
      </w:r>
      <w:r>
        <w:rPr>
          <w:rFonts w:hint="eastAsia" w:ascii="Times New Roman" w:hAnsi="Times New Roman" w:eastAsia="仿宋_GB2312" w:cs="Times New Roman"/>
          <w:b w:val="0"/>
          <w:bCs/>
          <w:color w:val="333333"/>
          <w:kern w:val="0"/>
          <w:sz w:val="32"/>
          <w:szCs w:val="28"/>
          <w:lang w:val="en-US" w:eastAsia="zh-CN"/>
        </w:rPr>
        <w:t>1,673.89</w:t>
      </w:r>
      <w:r>
        <w:rPr>
          <w:rFonts w:hint="default" w:ascii="Times New Roman" w:hAnsi="Times New Roman" w:eastAsia="仿宋_GB2312" w:cs="Times New Roman"/>
          <w:b w:val="0"/>
          <w:bCs/>
          <w:color w:val="333333"/>
          <w:kern w:val="0"/>
          <w:sz w:val="32"/>
          <w:szCs w:val="28"/>
        </w:rPr>
        <w:t>万元，比上年决算数</w:t>
      </w:r>
      <w:r>
        <w:rPr>
          <w:rFonts w:hint="eastAsia" w:ascii="Times New Roman" w:hAnsi="Times New Roman" w:eastAsia="仿宋_GB2312" w:cs="Times New Roman"/>
          <w:b w:val="0"/>
          <w:bCs/>
          <w:color w:val="333333"/>
          <w:kern w:val="0"/>
          <w:sz w:val="32"/>
          <w:szCs w:val="28"/>
          <w:lang w:eastAsia="zh-CN"/>
        </w:rPr>
        <w:t>增加</w:t>
      </w:r>
      <w:r>
        <w:rPr>
          <w:rFonts w:hint="eastAsia" w:ascii="Times New Roman" w:hAnsi="Times New Roman" w:eastAsia="仿宋_GB2312" w:cs="Times New Roman"/>
          <w:b w:val="0"/>
          <w:bCs/>
          <w:color w:val="333333"/>
          <w:kern w:val="0"/>
          <w:sz w:val="32"/>
          <w:szCs w:val="28"/>
          <w:lang w:val="en-US" w:eastAsia="zh-CN"/>
        </w:rPr>
        <w:t>276.73</w:t>
      </w:r>
      <w:r>
        <w:rPr>
          <w:rFonts w:hint="default" w:ascii="Times New Roman" w:hAnsi="Times New Roman" w:eastAsia="仿宋_GB2312" w:cs="Times New Roman"/>
          <w:b w:val="0"/>
          <w:bCs/>
          <w:color w:val="333333"/>
          <w:kern w:val="0"/>
          <w:sz w:val="32"/>
          <w:szCs w:val="28"/>
        </w:rPr>
        <w:t xml:space="preserve"> 万元，</w:t>
      </w:r>
      <w:r>
        <w:rPr>
          <w:rFonts w:hint="eastAsia" w:ascii="Times New Roman" w:hAnsi="Times New Roman" w:eastAsia="仿宋_GB2312" w:cs="Times New Roman"/>
          <w:b w:val="0"/>
          <w:bCs/>
          <w:color w:val="333333"/>
          <w:kern w:val="0"/>
          <w:sz w:val="32"/>
          <w:szCs w:val="28"/>
          <w:lang w:eastAsia="zh-CN"/>
        </w:rPr>
        <w:t>增长</w:t>
      </w:r>
      <w:r>
        <w:rPr>
          <w:rFonts w:hint="eastAsia" w:ascii="Times New Roman" w:hAnsi="Times New Roman" w:eastAsia="仿宋_GB2312" w:cs="Times New Roman"/>
          <w:b w:val="0"/>
          <w:bCs/>
          <w:color w:val="333333"/>
          <w:kern w:val="0"/>
          <w:sz w:val="32"/>
          <w:szCs w:val="28"/>
          <w:lang w:val="en-US" w:eastAsia="zh-CN"/>
        </w:rPr>
        <w:t>19.81</w:t>
      </w:r>
      <w:r>
        <w:rPr>
          <w:rFonts w:hint="default" w:ascii="Times New Roman" w:hAnsi="Times New Roman" w:eastAsia="仿宋_GB2312" w:cs="Times New Roman"/>
          <w:b w:val="0"/>
          <w:bCs/>
          <w:color w:val="333333"/>
          <w:kern w:val="0"/>
          <w:sz w:val="32"/>
          <w:szCs w:val="28"/>
        </w:rPr>
        <w:t>%；主要变动情况：</w:t>
      </w:r>
      <w:r>
        <w:rPr>
          <w:rFonts w:hint="eastAsia" w:ascii="Times New Roman" w:hAnsi="Times New Roman" w:eastAsia="仿宋_GB2312" w:cs="Times New Roman"/>
          <w:b w:val="0"/>
          <w:bCs/>
          <w:color w:val="333333"/>
          <w:kern w:val="0"/>
          <w:sz w:val="32"/>
          <w:szCs w:val="28"/>
          <w:lang w:eastAsia="zh-CN"/>
        </w:rPr>
        <w:t>第六次卫生服务调查、医改监测等专项工作任务增加及车辆购置经费支出增加</w:t>
      </w:r>
      <w:r>
        <w:rPr>
          <w:rFonts w:hint="default" w:ascii="Times New Roman" w:hAnsi="Times New Roman" w:eastAsia="仿宋_GB2312" w:cs="Times New Roman"/>
          <w:b w:val="0"/>
          <w:bCs/>
          <w:color w:val="333333"/>
          <w:kern w:val="0"/>
          <w:sz w:val="32"/>
          <w:szCs w:val="28"/>
        </w:rPr>
        <w:t>；政府性基金预算财政拨款</w:t>
      </w:r>
      <w:r>
        <w:rPr>
          <w:rFonts w:hint="eastAsia" w:ascii="Times New Roman" w:hAnsi="Times New Roman" w:eastAsia="仿宋_GB2312" w:cs="Times New Roman"/>
          <w:b w:val="0"/>
          <w:bCs/>
          <w:color w:val="333333"/>
          <w:kern w:val="0"/>
          <w:sz w:val="32"/>
          <w:szCs w:val="28"/>
          <w:lang w:eastAsia="zh-CN"/>
        </w:rPr>
        <w:t>支出</w:t>
      </w:r>
      <w:r>
        <w:rPr>
          <w:rFonts w:hint="default" w:ascii="Times New Roman" w:hAnsi="Times New Roman" w:eastAsia="仿宋_GB2312" w:cs="Times New Roman"/>
          <w:b w:val="0"/>
          <w:bCs/>
          <w:color w:val="333333"/>
          <w:kern w:val="0"/>
          <w:sz w:val="32"/>
          <w:szCs w:val="28"/>
        </w:rPr>
        <w:t xml:space="preserve"> 0万元，</w:t>
      </w:r>
      <w:r>
        <w:rPr>
          <w:rFonts w:hint="eastAsia" w:ascii="Times New Roman" w:hAnsi="Times New Roman" w:eastAsia="仿宋_GB2312" w:cs="Times New Roman"/>
          <w:b w:val="0"/>
          <w:bCs/>
          <w:color w:val="333333"/>
          <w:kern w:val="0"/>
          <w:sz w:val="32"/>
          <w:szCs w:val="28"/>
          <w:lang w:eastAsia="zh-CN"/>
        </w:rPr>
        <w:t>跟</w:t>
      </w:r>
      <w:r>
        <w:rPr>
          <w:rFonts w:hint="default" w:ascii="Times New Roman" w:hAnsi="Times New Roman" w:eastAsia="仿宋_GB2312" w:cs="Times New Roman"/>
          <w:b w:val="0"/>
          <w:bCs/>
          <w:color w:val="333333"/>
          <w:kern w:val="0"/>
          <w:sz w:val="32"/>
          <w:szCs w:val="28"/>
        </w:rPr>
        <w:t>上年决算数</w:t>
      </w:r>
      <w:r>
        <w:rPr>
          <w:rFonts w:hint="eastAsia" w:ascii="Times New Roman" w:hAnsi="Times New Roman" w:eastAsia="仿宋_GB2312" w:cs="Times New Roman"/>
          <w:b w:val="0"/>
          <w:bCs/>
          <w:color w:val="333333"/>
          <w:kern w:val="0"/>
          <w:sz w:val="32"/>
          <w:szCs w:val="28"/>
          <w:lang w:eastAsia="zh-CN"/>
        </w:rPr>
        <w:t>对比，无增减变化</w:t>
      </w:r>
      <w:r>
        <w:rPr>
          <w:rFonts w:hint="default" w:ascii="Times New Roman" w:hAnsi="Times New Roman" w:eastAsia="仿宋_GB2312" w:cs="Times New Roman"/>
          <w:b w:val="0"/>
          <w:bCs/>
          <w:color w:val="333333"/>
          <w:kern w:val="0"/>
          <w:sz w:val="32"/>
          <w:szCs w:val="28"/>
        </w:rPr>
        <w:t>。</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黑体" w:cs="Times New Roman"/>
          <w:b w:val="0"/>
          <w:bCs/>
          <w:color w:val="000000"/>
          <w:sz w:val="32"/>
        </w:rPr>
      </w:pPr>
      <w:r>
        <w:rPr>
          <w:rFonts w:hint="default" w:ascii="Times New Roman" w:hAnsi="Times New Roman" w:eastAsia="黑体" w:cs="Times New Roman"/>
          <w:b w:val="0"/>
          <w:bCs/>
          <w:color w:val="000000"/>
          <w:sz w:val="32"/>
        </w:rPr>
        <w:t>三、</w:t>
      </w:r>
      <w:r>
        <w:rPr>
          <w:rFonts w:hint="eastAsia" w:ascii="Times New Roman" w:hAnsi="Times New Roman" w:eastAsia="黑体" w:cs="Times New Roman"/>
          <w:b w:val="0"/>
          <w:bCs/>
          <w:color w:val="000000"/>
          <w:sz w:val="32"/>
          <w:lang w:eastAsia="zh-CN"/>
        </w:rPr>
        <w:t>2018年</w:t>
      </w:r>
      <w:r>
        <w:rPr>
          <w:rFonts w:hint="default" w:ascii="Times New Roman" w:hAnsi="Times New Roman" w:eastAsia="黑体" w:cs="Times New Roman"/>
          <w:b w:val="0"/>
          <w:bCs/>
          <w:color w:val="000000"/>
          <w:sz w:val="32"/>
        </w:rPr>
        <w:t>度财政拨款“三公”经费支出决算情况说明</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省</w:t>
      </w:r>
      <w:r>
        <w:rPr>
          <w:rFonts w:hint="eastAsia" w:ascii="Times New Roman" w:hAnsi="Times New Roman" w:eastAsia="仿宋_GB2312" w:cs="Times New Roman"/>
          <w:b w:val="0"/>
          <w:bCs/>
          <w:color w:val="333333"/>
          <w:kern w:val="0"/>
          <w:sz w:val="32"/>
          <w:szCs w:val="28"/>
          <w:lang w:eastAsia="zh-CN"/>
        </w:rPr>
        <w:t>卫生健康委员会政务服务中心2018年</w:t>
      </w:r>
      <w:r>
        <w:rPr>
          <w:rFonts w:hint="default" w:ascii="Times New Roman" w:hAnsi="Times New Roman" w:eastAsia="仿宋_GB2312" w:cs="Times New Roman"/>
          <w:b w:val="0"/>
          <w:bCs/>
          <w:color w:val="333333"/>
          <w:kern w:val="0"/>
          <w:sz w:val="32"/>
          <w:szCs w:val="28"/>
        </w:rPr>
        <w:t>度“三公”经费财政拨款支出决算为</w:t>
      </w:r>
      <w:r>
        <w:rPr>
          <w:rFonts w:hint="eastAsia" w:ascii="Times New Roman" w:hAnsi="Times New Roman" w:eastAsia="仿宋_GB2312" w:cs="Times New Roman"/>
          <w:b w:val="0"/>
          <w:bCs/>
          <w:color w:val="333333"/>
          <w:kern w:val="0"/>
          <w:sz w:val="32"/>
          <w:szCs w:val="28"/>
          <w:lang w:val="en-US" w:eastAsia="zh-CN"/>
        </w:rPr>
        <w:t>55.3</w:t>
      </w:r>
      <w:r>
        <w:rPr>
          <w:rFonts w:hint="default" w:ascii="Times New Roman" w:hAnsi="Times New Roman" w:eastAsia="仿宋_GB2312" w:cs="Times New Roman"/>
          <w:b w:val="0"/>
          <w:bCs/>
          <w:color w:val="333333"/>
          <w:kern w:val="0"/>
          <w:sz w:val="32"/>
          <w:szCs w:val="28"/>
        </w:rPr>
        <w:t>万元，完成预算</w:t>
      </w:r>
      <w:r>
        <w:rPr>
          <w:rFonts w:hint="eastAsia" w:ascii="Times New Roman" w:hAnsi="Times New Roman" w:eastAsia="仿宋_GB2312" w:cs="Times New Roman"/>
          <w:b w:val="0"/>
          <w:bCs/>
          <w:color w:val="333333"/>
          <w:kern w:val="0"/>
          <w:sz w:val="32"/>
          <w:szCs w:val="28"/>
          <w:lang w:val="en-US" w:eastAsia="zh-CN"/>
        </w:rPr>
        <w:t>57.82</w:t>
      </w:r>
      <w:r>
        <w:rPr>
          <w:rFonts w:hint="default" w:ascii="Times New Roman" w:hAnsi="Times New Roman" w:eastAsia="仿宋_GB2312" w:cs="Times New Roman"/>
          <w:b w:val="0"/>
          <w:bCs/>
          <w:color w:val="333333"/>
          <w:kern w:val="0"/>
          <w:sz w:val="32"/>
          <w:szCs w:val="28"/>
        </w:rPr>
        <w:t>万元的</w:t>
      </w:r>
      <w:r>
        <w:rPr>
          <w:rFonts w:hint="eastAsia" w:ascii="Times New Roman" w:hAnsi="Times New Roman" w:eastAsia="仿宋_GB2312" w:cs="Times New Roman"/>
          <w:b w:val="0"/>
          <w:bCs/>
          <w:color w:val="333333"/>
          <w:kern w:val="0"/>
          <w:sz w:val="32"/>
          <w:szCs w:val="28"/>
          <w:lang w:val="en-US" w:eastAsia="zh-CN"/>
        </w:rPr>
        <w:t>95.64</w:t>
      </w:r>
      <w:r>
        <w:rPr>
          <w:rFonts w:hint="default" w:ascii="Times New Roman" w:hAnsi="Times New Roman" w:eastAsia="仿宋_GB2312" w:cs="Times New Roman"/>
          <w:b w:val="0"/>
          <w:bCs/>
          <w:color w:val="333333"/>
          <w:kern w:val="0"/>
          <w:sz w:val="32"/>
          <w:szCs w:val="28"/>
        </w:rPr>
        <w:t>%。其中：因公出国（境）费支出决算为</w:t>
      </w:r>
      <w:r>
        <w:rPr>
          <w:rFonts w:hint="eastAsia" w:ascii="Times New Roman" w:hAnsi="Times New Roman" w:eastAsia="仿宋_GB2312" w:cs="Times New Roman"/>
          <w:b w:val="0"/>
          <w:bCs/>
          <w:color w:val="333333"/>
          <w:kern w:val="0"/>
          <w:sz w:val="32"/>
          <w:szCs w:val="28"/>
          <w:lang w:val="en-US" w:eastAsia="zh-CN"/>
        </w:rPr>
        <w:t>1.82</w:t>
      </w:r>
      <w:r>
        <w:rPr>
          <w:rFonts w:hint="default" w:ascii="Times New Roman" w:hAnsi="Times New Roman" w:eastAsia="仿宋_GB2312" w:cs="Times New Roman"/>
          <w:b w:val="0"/>
          <w:bCs/>
          <w:color w:val="333333"/>
          <w:kern w:val="0"/>
          <w:sz w:val="32"/>
          <w:szCs w:val="28"/>
        </w:rPr>
        <w:t>万元，完成预算</w:t>
      </w:r>
      <w:r>
        <w:rPr>
          <w:rFonts w:hint="eastAsia" w:ascii="Times New Roman" w:hAnsi="Times New Roman" w:eastAsia="仿宋_GB2312" w:cs="Times New Roman"/>
          <w:b w:val="0"/>
          <w:bCs/>
          <w:color w:val="333333"/>
          <w:kern w:val="0"/>
          <w:sz w:val="32"/>
          <w:szCs w:val="28"/>
          <w:lang w:val="en-US" w:eastAsia="zh-CN"/>
        </w:rPr>
        <w:t>2.52</w:t>
      </w:r>
      <w:r>
        <w:rPr>
          <w:rFonts w:hint="default" w:ascii="Times New Roman" w:hAnsi="Times New Roman" w:eastAsia="仿宋_GB2312" w:cs="Times New Roman"/>
          <w:b w:val="0"/>
          <w:bCs/>
          <w:color w:val="333333"/>
          <w:kern w:val="0"/>
          <w:sz w:val="32"/>
          <w:szCs w:val="28"/>
        </w:rPr>
        <w:t>万元的</w:t>
      </w:r>
      <w:r>
        <w:rPr>
          <w:rFonts w:hint="eastAsia" w:ascii="Times New Roman" w:hAnsi="Times New Roman" w:eastAsia="仿宋_GB2312" w:cs="Times New Roman"/>
          <w:b w:val="0"/>
          <w:bCs/>
          <w:color w:val="333333"/>
          <w:kern w:val="0"/>
          <w:sz w:val="32"/>
          <w:szCs w:val="28"/>
          <w:lang w:val="en-US" w:eastAsia="zh-CN"/>
        </w:rPr>
        <w:t>72.22</w:t>
      </w:r>
      <w:r>
        <w:rPr>
          <w:rFonts w:hint="default" w:ascii="Times New Roman" w:hAnsi="Times New Roman" w:eastAsia="仿宋_GB2312" w:cs="Times New Roman"/>
          <w:b w:val="0"/>
          <w:bCs/>
          <w:color w:val="333333"/>
          <w:kern w:val="0"/>
          <w:sz w:val="32"/>
          <w:szCs w:val="28"/>
        </w:rPr>
        <w:t>%；公务用车购置及运行费支出决算为</w:t>
      </w:r>
      <w:r>
        <w:rPr>
          <w:rFonts w:hint="eastAsia" w:ascii="Times New Roman" w:hAnsi="Times New Roman" w:eastAsia="仿宋_GB2312" w:cs="Times New Roman"/>
          <w:b w:val="0"/>
          <w:bCs/>
          <w:color w:val="333333"/>
          <w:kern w:val="0"/>
          <w:sz w:val="32"/>
          <w:szCs w:val="28"/>
          <w:lang w:val="en-US" w:eastAsia="zh-CN"/>
        </w:rPr>
        <w:t>53.48</w:t>
      </w:r>
      <w:r>
        <w:rPr>
          <w:rFonts w:hint="default" w:ascii="Times New Roman" w:hAnsi="Times New Roman" w:eastAsia="仿宋_GB2312" w:cs="Times New Roman"/>
          <w:b w:val="0"/>
          <w:bCs/>
          <w:color w:val="333333"/>
          <w:kern w:val="0"/>
          <w:sz w:val="32"/>
          <w:szCs w:val="28"/>
        </w:rPr>
        <w:t>万元，完成预算</w:t>
      </w:r>
      <w:r>
        <w:rPr>
          <w:rFonts w:hint="eastAsia" w:ascii="Times New Roman" w:hAnsi="Times New Roman" w:eastAsia="仿宋_GB2312" w:cs="Times New Roman"/>
          <w:b w:val="0"/>
          <w:bCs/>
          <w:color w:val="333333"/>
          <w:kern w:val="0"/>
          <w:sz w:val="32"/>
          <w:szCs w:val="28"/>
          <w:lang w:val="en-US" w:eastAsia="zh-CN"/>
        </w:rPr>
        <w:t>54.3</w:t>
      </w:r>
      <w:r>
        <w:rPr>
          <w:rFonts w:hint="default" w:ascii="Times New Roman" w:hAnsi="Times New Roman" w:eastAsia="仿宋_GB2312" w:cs="Times New Roman"/>
          <w:b w:val="0"/>
          <w:bCs/>
          <w:color w:val="333333"/>
          <w:kern w:val="0"/>
          <w:sz w:val="32"/>
          <w:szCs w:val="28"/>
        </w:rPr>
        <w:t xml:space="preserve">万元的 </w:t>
      </w:r>
      <w:r>
        <w:rPr>
          <w:rFonts w:hint="eastAsia" w:ascii="Times New Roman" w:hAnsi="Times New Roman" w:eastAsia="仿宋_GB2312" w:cs="Times New Roman"/>
          <w:b w:val="0"/>
          <w:bCs/>
          <w:color w:val="333333"/>
          <w:kern w:val="0"/>
          <w:sz w:val="32"/>
          <w:szCs w:val="28"/>
          <w:lang w:val="en-US" w:eastAsia="zh-CN"/>
        </w:rPr>
        <w:t>98.49</w:t>
      </w:r>
      <w:r>
        <w:rPr>
          <w:rFonts w:hint="default" w:ascii="Times New Roman" w:hAnsi="Times New Roman" w:eastAsia="仿宋_GB2312" w:cs="Times New Roman"/>
          <w:b w:val="0"/>
          <w:bCs/>
          <w:color w:val="333333"/>
          <w:kern w:val="0"/>
          <w:sz w:val="32"/>
          <w:szCs w:val="28"/>
        </w:rPr>
        <w:t>%；公务接待费支出决算为</w:t>
      </w:r>
      <w:r>
        <w:rPr>
          <w:rFonts w:hint="eastAsia"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万元，完成预算</w:t>
      </w:r>
      <w:r>
        <w:rPr>
          <w:rFonts w:hint="eastAsia" w:ascii="Times New Roman" w:hAnsi="Times New Roman" w:eastAsia="仿宋_GB2312" w:cs="Times New Roman"/>
          <w:b w:val="0"/>
          <w:bCs/>
          <w:color w:val="333333"/>
          <w:kern w:val="0"/>
          <w:sz w:val="32"/>
          <w:szCs w:val="28"/>
          <w:lang w:val="en-US" w:eastAsia="zh-CN"/>
        </w:rPr>
        <w:t>1</w:t>
      </w:r>
      <w:r>
        <w:rPr>
          <w:rFonts w:hint="default" w:ascii="Times New Roman" w:hAnsi="Times New Roman" w:eastAsia="仿宋_GB2312" w:cs="Times New Roman"/>
          <w:b w:val="0"/>
          <w:bCs/>
          <w:color w:val="333333"/>
          <w:kern w:val="0"/>
          <w:sz w:val="32"/>
          <w:szCs w:val="28"/>
        </w:rPr>
        <w:t xml:space="preserve">万元的 </w:t>
      </w:r>
      <w:r>
        <w:rPr>
          <w:rFonts w:hint="eastAsia"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FF0000"/>
          <w:kern w:val="0"/>
          <w:sz w:val="32"/>
          <w:szCs w:val="28"/>
        </w:rPr>
      </w:pPr>
      <w:r>
        <w:rPr>
          <w:rFonts w:hint="eastAsia" w:ascii="Times New Roman" w:hAnsi="Times New Roman" w:eastAsia="仿宋_GB2312" w:cs="Times New Roman"/>
          <w:b w:val="0"/>
          <w:bCs/>
          <w:color w:val="333333"/>
          <w:kern w:val="0"/>
          <w:sz w:val="32"/>
          <w:szCs w:val="28"/>
          <w:lang w:eastAsia="zh-CN"/>
        </w:rPr>
        <w:t>2018年</w:t>
      </w:r>
      <w:r>
        <w:rPr>
          <w:rFonts w:hint="default" w:ascii="Times New Roman" w:hAnsi="Times New Roman" w:eastAsia="仿宋_GB2312" w:cs="Times New Roman"/>
          <w:b w:val="0"/>
          <w:bCs/>
          <w:color w:val="333333"/>
          <w:kern w:val="0"/>
          <w:sz w:val="32"/>
          <w:szCs w:val="28"/>
        </w:rPr>
        <w:t>度“三公”经费支出决算</w:t>
      </w:r>
      <w:r>
        <w:rPr>
          <w:rFonts w:hint="eastAsia" w:ascii="Times New Roman" w:hAnsi="Times New Roman" w:eastAsia="仿宋_GB2312" w:cs="Times New Roman"/>
          <w:b w:val="0"/>
          <w:bCs/>
          <w:color w:val="333333"/>
          <w:kern w:val="0"/>
          <w:sz w:val="32"/>
          <w:szCs w:val="28"/>
          <w:lang w:eastAsia="zh-CN"/>
        </w:rPr>
        <w:t>小于</w:t>
      </w:r>
      <w:r>
        <w:rPr>
          <w:rFonts w:hint="default" w:ascii="Times New Roman" w:hAnsi="Times New Roman" w:eastAsia="仿宋_GB2312" w:cs="Times New Roman"/>
          <w:b w:val="0"/>
          <w:bCs/>
          <w:color w:val="333333"/>
          <w:kern w:val="0"/>
          <w:sz w:val="32"/>
          <w:szCs w:val="28"/>
        </w:rPr>
        <w:t>预算数的主要变动情况情况是：</w:t>
      </w:r>
      <w:r>
        <w:rPr>
          <w:rFonts w:hint="eastAsia" w:ascii="Times New Roman" w:hAnsi="Times New Roman" w:eastAsia="仿宋_GB2312" w:cs="Times New Roman"/>
          <w:b w:val="0"/>
          <w:bCs/>
          <w:color w:val="333333"/>
          <w:kern w:val="0"/>
          <w:sz w:val="32"/>
          <w:szCs w:val="28"/>
          <w:lang w:eastAsia="zh-CN"/>
        </w:rPr>
        <w:t>认真贯彻落实中央“八项规定”的精神和厉行节约要求，从严控制“三公”经</w:t>
      </w:r>
      <w:r>
        <w:rPr>
          <w:rFonts w:hint="eastAsia" w:ascii="Times New Roman" w:hAnsi="Times New Roman" w:eastAsia="仿宋_GB2312" w:cs="Times New Roman"/>
          <w:b w:val="0"/>
          <w:bCs/>
          <w:color w:val="auto"/>
          <w:kern w:val="0"/>
          <w:sz w:val="32"/>
          <w:szCs w:val="28"/>
          <w:lang w:eastAsia="zh-CN"/>
        </w:rPr>
        <w:t>费</w:t>
      </w:r>
      <w:r>
        <w:rPr>
          <w:rFonts w:hint="default" w:ascii="Times New Roman" w:hAnsi="Times New Roman" w:eastAsia="仿宋_GB2312" w:cs="Times New Roman"/>
          <w:b w:val="0"/>
          <w:bCs/>
          <w:color w:val="auto"/>
          <w:kern w:val="0"/>
          <w:sz w:val="32"/>
          <w:szCs w:val="28"/>
        </w:rPr>
        <w:t>。</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与上年相比，</w:t>
      </w:r>
      <w:r>
        <w:rPr>
          <w:rFonts w:hint="eastAsia" w:ascii="Times New Roman" w:hAnsi="Times New Roman" w:eastAsia="仿宋_GB2312" w:cs="Times New Roman"/>
          <w:b w:val="0"/>
          <w:bCs/>
          <w:color w:val="333333"/>
          <w:kern w:val="0"/>
          <w:sz w:val="32"/>
          <w:szCs w:val="28"/>
          <w:lang w:eastAsia="zh-CN"/>
        </w:rPr>
        <w:t>2018年</w:t>
      </w:r>
      <w:r>
        <w:rPr>
          <w:rFonts w:hint="default" w:ascii="Times New Roman" w:hAnsi="Times New Roman" w:eastAsia="仿宋_GB2312" w:cs="Times New Roman"/>
          <w:b w:val="0"/>
          <w:bCs/>
          <w:color w:val="333333"/>
          <w:kern w:val="0"/>
          <w:sz w:val="32"/>
          <w:szCs w:val="28"/>
        </w:rPr>
        <w:t>度“三公”经费财政拨款支出决算数比上年增加</w:t>
      </w:r>
      <w:r>
        <w:rPr>
          <w:rFonts w:hint="eastAsia" w:ascii="Times New Roman" w:hAnsi="Times New Roman" w:eastAsia="仿宋_GB2312" w:cs="Times New Roman"/>
          <w:b w:val="0"/>
          <w:bCs/>
          <w:color w:val="333333"/>
          <w:kern w:val="0"/>
          <w:sz w:val="32"/>
          <w:szCs w:val="28"/>
          <w:lang w:val="en-US" w:eastAsia="zh-CN"/>
        </w:rPr>
        <w:t>50.83</w:t>
      </w:r>
      <w:r>
        <w:rPr>
          <w:rFonts w:hint="default" w:ascii="Times New Roman" w:hAnsi="Times New Roman" w:eastAsia="仿宋_GB2312" w:cs="Times New Roman"/>
          <w:b w:val="0"/>
          <w:bCs/>
          <w:color w:val="333333"/>
          <w:kern w:val="0"/>
          <w:sz w:val="32"/>
          <w:szCs w:val="28"/>
        </w:rPr>
        <w:t>万元，增长</w:t>
      </w:r>
      <w:r>
        <w:rPr>
          <w:rFonts w:hint="eastAsia" w:ascii="Times New Roman" w:hAnsi="Times New Roman" w:eastAsia="仿宋_GB2312" w:cs="Times New Roman"/>
          <w:b w:val="0"/>
          <w:bCs/>
          <w:color w:val="333333"/>
          <w:kern w:val="0"/>
          <w:sz w:val="32"/>
          <w:szCs w:val="28"/>
          <w:lang w:val="en-US" w:eastAsia="zh-CN"/>
        </w:rPr>
        <w:t>1137.14</w:t>
      </w:r>
      <w:r>
        <w:rPr>
          <w:rFonts w:hint="default" w:ascii="Times New Roman" w:hAnsi="Times New Roman" w:eastAsia="仿宋_GB2312" w:cs="Times New Roman"/>
          <w:b w:val="0"/>
          <w:bCs/>
          <w:color w:val="333333"/>
          <w:kern w:val="0"/>
          <w:sz w:val="32"/>
          <w:szCs w:val="28"/>
        </w:rPr>
        <w:t>%。其中：因公出国（境）费支出决算增加</w:t>
      </w:r>
      <w:r>
        <w:rPr>
          <w:rFonts w:hint="eastAsia" w:ascii="Times New Roman" w:hAnsi="Times New Roman" w:eastAsia="仿宋_GB2312" w:cs="Times New Roman"/>
          <w:b w:val="0"/>
          <w:bCs/>
          <w:color w:val="333333"/>
          <w:kern w:val="0"/>
          <w:sz w:val="32"/>
          <w:szCs w:val="28"/>
          <w:lang w:val="en-US" w:eastAsia="zh-CN"/>
        </w:rPr>
        <w:t>1.82</w:t>
      </w:r>
      <w:r>
        <w:rPr>
          <w:rFonts w:hint="default" w:ascii="Times New Roman" w:hAnsi="Times New Roman" w:eastAsia="仿宋_GB2312" w:cs="Times New Roman"/>
          <w:b w:val="0"/>
          <w:bCs/>
          <w:color w:val="333333"/>
          <w:kern w:val="0"/>
          <w:sz w:val="32"/>
          <w:szCs w:val="28"/>
        </w:rPr>
        <w:t>万元；公务用车购置及运行费支出决算</w:t>
      </w:r>
      <w:r>
        <w:rPr>
          <w:rFonts w:hint="eastAsia" w:ascii="Times New Roman" w:hAnsi="Times New Roman" w:eastAsia="仿宋_GB2312" w:cs="Times New Roman"/>
          <w:b w:val="0"/>
          <w:bCs/>
          <w:color w:val="333333"/>
          <w:kern w:val="0"/>
          <w:sz w:val="32"/>
          <w:szCs w:val="28"/>
          <w:lang w:eastAsia="zh-CN"/>
        </w:rPr>
        <w:t>增加</w:t>
      </w:r>
      <w:r>
        <w:rPr>
          <w:rFonts w:hint="eastAsia" w:ascii="Times New Roman" w:hAnsi="Times New Roman" w:eastAsia="仿宋_GB2312" w:cs="Times New Roman"/>
          <w:b w:val="0"/>
          <w:bCs/>
          <w:color w:val="333333"/>
          <w:kern w:val="0"/>
          <w:sz w:val="32"/>
          <w:szCs w:val="28"/>
          <w:lang w:val="en-US" w:eastAsia="zh-CN"/>
        </w:rPr>
        <w:t>49.01</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增长</w:t>
      </w:r>
      <w:r>
        <w:rPr>
          <w:rFonts w:hint="eastAsia" w:ascii="Times New Roman" w:hAnsi="Times New Roman" w:eastAsia="仿宋_GB2312" w:cs="Times New Roman"/>
          <w:b w:val="0"/>
          <w:bCs/>
          <w:color w:val="333333"/>
          <w:kern w:val="0"/>
          <w:sz w:val="32"/>
          <w:szCs w:val="28"/>
          <w:lang w:val="en-US" w:eastAsia="zh-CN"/>
        </w:rPr>
        <w:t>1096.42</w:t>
      </w:r>
      <w:r>
        <w:rPr>
          <w:rFonts w:hint="default" w:ascii="Times New Roman" w:hAnsi="Times New Roman" w:eastAsia="仿宋_GB2312" w:cs="Times New Roman"/>
          <w:b w:val="0"/>
          <w:bCs/>
          <w:color w:val="333333"/>
          <w:kern w:val="0"/>
          <w:sz w:val="32"/>
          <w:szCs w:val="28"/>
        </w:rPr>
        <w:t>%</w:t>
      </w:r>
      <w:r>
        <w:rPr>
          <w:rFonts w:hint="eastAsia" w:ascii="Times New Roman" w:hAnsi="Times New Roman" w:eastAsia="仿宋_GB2312" w:cs="Times New Roman"/>
          <w:b w:val="0"/>
          <w:bCs/>
          <w:color w:val="333333"/>
          <w:kern w:val="0"/>
          <w:sz w:val="32"/>
          <w:szCs w:val="28"/>
          <w:lang w:eastAsia="zh-CN"/>
        </w:rPr>
        <w:t>，主要是中心因工作需要购置公务用车</w:t>
      </w:r>
      <w:r>
        <w:rPr>
          <w:rFonts w:hint="eastAsia" w:ascii="Times New Roman" w:hAnsi="Times New Roman" w:eastAsia="仿宋_GB2312" w:cs="Times New Roman"/>
          <w:b w:val="0"/>
          <w:bCs/>
          <w:color w:val="333333"/>
          <w:kern w:val="0"/>
          <w:sz w:val="32"/>
          <w:szCs w:val="28"/>
          <w:lang w:val="en-US" w:eastAsia="zh-CN"/>
        </w:rPr>
        <w:t>2台</w:t>
      </w:r>
      <w:r>
        <w:rPr>
          <w:rFonts w:hint="default" w:ascii="Times New Roman" w:hAnsi="Times New Roman" w:eastAsia="仿宋_GB2312" w:cs="Times New Roman"/>
          <w:b w:val="0"/>
          <w:bCs/>
          <w:color w:val="333333"/>
          <w:kern w:val="0"/>
          <w:sz w:val="32"/>
          <w:szCs w:val="28"/>
        </w:rPr>
        <w:t>；公务接待费支出决算</w:t>
      </w:r>
      <w:r>
        <w:rPr>
          <w:rFonts w:hint="eastAsia" w:ascii="Times New Roman" w:hAnsi="Times New Roman" w:eastAsia="仿宋_GB2312" w:cs="Times New Roman"/>
          <w:b w:val="0"/>
          <w:bCs/>
          <w:color w:val="333333"/>
          <w:kern w:val="0"/>
          <w:sz w:val="32"/>
          <w:szCs w:val="28"/>
          <w:lang w:eastAsia="zh-CN"/>
        </w:rPr>
        <w:t>增加</w:t>
      </w:r>
      <w:r>
        <w:rPr>
          <w:rFonts w:hint="eastAsia"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万元。</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黑体" w:cs="Times New Roman"/>
          <w:b w:val="0"/>
          <w:bCs/>
          <w:color w:val="000000"/>
          <w:sz w:val="32"/>
        </w:rPr>
      </w:pPr>
      <w:r>
        <w:rPr>
          <w:rFonts w:hint="default" w:ascii="Times New Roman" w:hAnsi="Times New Roman" w:eastAsia="黑体" w:cs="Times New Roman"/>
          <w:b w:val="0"/>
          <w:bCs/>
          <w:color w:val="000000"/>
          <w:sz w:val="32"/>
        </w:rPr>
        <w:t>四、其他重要事项的情况说明</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w:t>
      </w:r>
      <w:r>
        <w:rPr>
          <w:rFonts w:hint="eastAsia" w:ascii="Times New Roman" w:hAnsi="Times New Roman" w:eastAsia="楷体_GB2312" w:cs="Times New Roman"/>
          <w:b w:val="0"/>
          <w:bCs/>
          <w:color w:val="000000"/>
          <w:sz w:val="32"/>
          <w:lang w:eastAsia="zh-CN"/>
        </w:rPr>
        <w:t>一</w:t>
      </w:r>
      <w:r>
        <w:rPr>
          <w:rFonts w:hint="default" w:ascii="Times New Roman" w:hAnsi="Times New Roman" w:eastAsia="楷体_GB2312" w:cs="Times New Roman"/>
          <w:b w:val="0"/>
          <w:bCs/>
          <w:color w:val="000000"/>
          <w:sz w:val="32"/>
        </w:rPr>
        <w:t>）政府采购支出情况说明</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eastAsia" w:ascii="Times New Roman" w:hAnsi="Times New Roman" w:eastAsia="仿宋_GB2312" w:cs="Times New Roman"/>
          <w:b w:val="0"/>
          <w:bCs/>
          <w:color w:val="333333"/>
          <w:kern w:val="0"/>
          <w:sz w:val="32"/>
          <w:szCs w:val="28"/>
          <w:lang w:eastAsia="zh-CN"/>
        </w:rPr>
        <w:t>2018年中心</w:t>
      </w:r>
      <w:r>
        <w:rPr>
          <w:rFonts w:hint="default" w:ascii="Times New Roman" w:hAnsi="Times New Roman" w:eastAsia="仿宋_GB2312" w:cs="Times New Roman"/>
          <w:b w:val="0"/>
          <w:bCs/>
          <w:color w:val="333333"/>
          <w:kern w:val="0"/>
          <w:sz w:val="32"/>
          <w:szCs w:val="28"/>
        </w:rPr>
        <w:t>政府采购支出总额</w:t>
      </w:r>
      <w:r>
        <w:rPr>
          <w:rFonts w:hint="eastAsia" w:ascii="Times New Roman" w:hAnsi="Times New Roman" w:eastAsia="仿宋_GB2312" w:cs="Times New Roman"/>
          <w:b w:val="0"/>
          <w:bCs/>
          <w:color w:val="333333"/>
          <w:kern w:val="0"/>
          <w:sz w:val="32"/>
          <w:szCs w:val="28"/>
          <w:lang w:val="en-US" w:eastAsia="zh-CN"/>
        </w:rPr>
        <w:t>200.46</w:t>
      </w:r>
      <w:r>
        <w:rPr>
          <w:rFonts w:hint="default" w:ascii="Times New Roman" w:hAnsi="Times New Roman" w:eastAsia="仿宋_GB2312" w:cs="Times New Roman"/>
          <w:b w:val="0"/>
          <w:bCs/>
          <w:color w:val="333333"/>
          <w:kern w:val="0"/>
          <w:sz w:val="32"/>
          <w:szCs w:val="28"/>
        </w:rPr>
        <w:t>万元，其中：政府采购货物支出</w:t>
      </w:r>
      <w:r>
        <w:rPr>
          <w:rFonts w:hint="eastAsia" w:ascii="Times New Roman" w:hAnsi="Times New Roman" w:eastAsia="仿宋_GB2312" w:cs="Times New Roman"/>
          <w:b w:val="0"/>
          <w:bCs/>
          <w:color w:val="333333"/>
          <w:kern w:val="0"/>
          <w:sz w:val="32"/>
          <w:szCs w:val="28"/>
          <w:lang w:val="en-US" w:eastAsia="zh-CN"/>
        </w:rPr>
        <w:t>72.51</w:t>
      </w:r>
      <w:r>
        <w:rPr>
          <w:rFonts w:hint="default" w:ascii="Times New Roman" w:hAnsi="Times New Roman" w:eastAsia="仿宋_GB2312" w:cs="Times New Roman"/>
          <w:b w:val="0"/>
          <w:bCs/>
          <w:color w:val="333333"/>
          <w:kern w:val="0"/>
          <w:sz w:val="32"/>
          <w:szCs w:val="28"/>
        </w:rPr>
        <w:t>万元、政府采购工程支出</w:t>
      </w:r>
      <w:r>
        <w:rPr>
          <w:rFonts w:hint="eastAsia" w:ascii="Times New Roman" w:hAnsi="Times New Roman" w:eastAsia="仿宋_GB2312" w:cs="Times New Roman"/>
          <w:b w:val="0"/>
          <w:bCs/>
          <w:color w:val="333333"/>
          <w:kern w:val="0"/>
          <w:sz w:val="32"/>
          <w:szCs w:val="28"/>
          <w:lang w:val="en-US" w:eastAsia="zh-CN"/>
        </w:rPr>
        <w:t>4.39</w:t>
      </w:r>
      <w:r>
        <w:rPr>
          <w:rFonts w:hint="default" w:ascii="Times New Roman" w:hAnsi="Times New Roman" w:eastAsia="仿宋_GB2312" w:cs="Times New Roman"/>
          <w:b w:val="0"/>
          <w:bCs/>
          <w:color w:val="333333"/>
          <w:kern w:val="0"/>
          <w:sz w:val="32"/>
          <w:szCs w:val="28"/>
        </w:rPr>
        <w:t>万元、政府采购服务支出</w:t>
      </w:r>
      <w:r>
        <w:rPr>
          <w:rFonts w:hint="eastAsia" w:ascii="Times New Roman" w:hAnsi="Times New Roman" w:eastAsia="仿宋_GB2312" w:cs="Times New Roman"/>
          <w:b w:val="0"/>
          <w:bCs/>
          <w:color w:val="333333"/>
          <w:kern w:val="0"/>
          <w:sz w:val="32"/>
          <w:szCs w:val="28"/>
          <w:lang w:val="en-US" w:eastAsia="zh-CN"/>
        </w:rPr>
        <w:t>123.56</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主要为办公设备、印刷服务、租赁服务、维修服务等政府采购项目。</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w:t>
      </w:r>
      <w:r>
        <w:rPr>
          <w:rFonts w:hint="eastAsia" w:ascii="Times New Roman" w:hAnsi="Times New Roman" w:eastAsia="楷体_GB2312" w:cs="Times New Roman"/>
          <w:b w:val="0"/>
          <w:bCs/>
          <w:color w:val="000000"/>
          <w:sz w:val="32"/>
          <w:lang w:eastAsia="zh-CN"/>
        </w:rPr>
        <w:t>二</w:t>
      </w:r>
      <w:r>
        <w:rPr>
          <w:rFonts w:hint="default" w:ascii="Times New Roman" w:hAnsi="Times New Roman" w:eastAsia="楷体_GB2312" w:cs="Times New Roman"/>
          <w:b w:val="0"/>
          <w:bCs/>
          <w:color w:val="000000"/>
          <w:sz w:val="32"/>
        </w:rPr>
        <w:t>）国有资产占用情况</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截至</w:t>
      </w:r>
      <w:r>
        <w:rPr>
          <w:rFonts w:hint="eastAsia" w:ascii="Times New Roman" w:hAnsi="Times New Roman" w:eastAsia="仿宋_GB2312" w:cs="Times New Roman"/>
          <w:b w:val="0"/>
          <w:bCs/>
          <w:color w:val="333333"/>
          <w:kern w:val="0"/>
          <w:sz w:val="32"/>
          <w:szCs w:val="28"/>
          <w:lang w:eastAsia="zh-CN"/>
        </w:rPr>
        <w:t>2018年</w:t>
      </w:r>
      <w:r>
        <w:rPr>
          <w:rFonts w:hint="default" w:ascii="Times New Roman" w:hAnsi="Times New Roman" w:eastAsia="仿宋_GB2312" w:cs="Times New Roman"/>
          <w:b w:val="0"/>
          <w:bCs/>
          <w:color w:val="333333"/>
          <w:kern w:val="0"/>
          <w:sz w:val="32"/>
          <w:szCs w:val="28"/>
        </w:rPr>
        <w:t>12月31日，</w:t>
      </w:r>
      <w:r>
        <w:rPr>
          <w:rFonts w:hint="eastAsia" w:ascii="Times New Roman" w:hAnsi="Times New Roman" w:eastAsia="仿宋_GB2312" w:cs="Times New Roman"/>
          <w:b w:val="0"/>
          <w:bCs/>
          <w:color w:val="333333"/>
          <w:kern w:val="0"/>
          <w:sz w:val="32"/>
          <w:szCs w:val="28"/>
          <w:lang w:eastAsia="zh-CN"/>
        </w:rPr>
        <w:t>中心</w:t>
      </w:r>
      <w:r>
        <w:rPr>
          <w:rFonts w:hint="default" w:ascii="Times New Roman" w:hAnsi="Times New Roman" w:eastAsia="仿宋_GB2312" w:cs="Times New Roman"/>
          <w:b w:val="0"/>
          <w:bCs/>
          <w:color w:val="333333"/>
          <w:kern w:val="0"/>
          <w:sz w:val="32"/>
          <w:szCs w:val="28"/>
        </w:rPr>
        <w:t>共有车辆</w:t>
      </w:r>
      <w:r>
        <w:rPr>
          <w:rFonts w:hint="eastAsia" w:ascii="Times New Roman" w:hAnsi="Times New Roman" w:eastAsia="仿宋_GB2312" w:cs="Times New Roman"/>
          <w:b w:val="0"/>
          <w:bCs/>
          <w:color w:val="333333"/>
          <w:kern w:val="0"/>
          <w:sz w:val="32"/>
          <w:szCs w:val="28"/>
          <w:lang w:val="en-US" w:eastAsia="zh-CN"/>
        </w:rPr>
        <w:t>2</w:t>
      </w:r>
      <w:r>
        <w:rPr>
          <w:rFonts w:hint="default" w:ascii="Times New Roman" w:hAnsi="Times New Roman" w:eastAsia="仿宋_GB2312" w:cs="Times New Roman"/>
          <w:b w:val="0"/>
          <w:bCs/>
          <w:color w:val="333333"/>
          <w:kern w:val="0"/>
          <w:sz w:val="32"/>
          <w:szCs w:val="28"/>
        </w:rPr>
        <w:t>辆，</w:t>
      </w:r>
      <w:r>
        <w:rPr>
          <w:rFonts w:hint="eastAsia" w:ascii="Times New Roman" w:hAnsi="Times New Roman" w:eastAsia="仿宋_GB2312" w:cs="Times New Roman"/>
          <w:b w:val="0"/>
          <w:bCs/>
          <w:color w:val="333333"/>
          <w:kern w:val="0"/>
          <w:sz w:val="32"/>
          <w:szCs w:val="28"/>
          <w:lang w:val="en-US" w:eastAsia="zh-CN"/>
        </w:rPr>
        <w:t>主要是保障单位两地办公通讯及后勤服务管理</w:t>
      </w:r>
      <w:r>
        <w:rPr>
          <w:rFonts w:hint="default" w:ascii="Times New Roman" w:hAnsi="Times New Roman" w:eastAsia="仿宋_GB2312" w:cs="Times New Roman"/>
          <w:b w:val="0"/>
          <w:bCs/>
          <w:color w:val="333333"/>
          <w:kern w:val="0"/>
          <w:sz w:val="32"/>
          <w:szCs w:val="28"/>
        </w:rPr>
        <w:t>；单位价值50万元以上通用设备</w:t>
      </w:r>
      <w:r>
        <w:rPr>
          <w:rFonts w:hint="eastAsia" w:ascii="Times New Roman" w:hAnsi="Times New Roman" w:eastAsia="仿宋_GB2312" w:cs="Times New Roman"/>
          <w:b w:val="0"/>
          <w:bCs/>
          <w:color w:val="333333"/>
          <w:kern w:val="0"/>
          <w:sz w:val="32"/>
          <w:szCs w:val="28"/>
          <w:lang w:val="en-US" w:eastAsia="zh-CN"/>
        </w:rPr>
        <w:t>4</w:t>
      </w:r>
      <w:r>
        <w:rPr>
          <w:rFonts w:hint="default" w:ascii="Times New Roman" w:hAnsi="Times New Roman" w:eastAsia="仿宋_GB2312" w:cs="Times New Roman"/>
          <w:b w:val="0"/>
          <w:bCs/>
          <w:color w:val="333333"/>
          <w:kern w:val="0"/>
          <w:sz w:val="32"/>
          <w:szCs w:val="28"/>
        </w:rPr>
        <w:t>台</w:t>
      </w:r>
      <w:r>
        <w:rPr>
          <w:rFonts w:hint="eastAsia" w:ascii="Times New Roman" w:hAnsi="Times New Roman" w:eastAsia="仿宋_GB2312" w:cs="Times New Roman"/>
          <w:b w:val="0"/>
          <w:bCs/>
          <w:color w:val="333333"/>
          <w:kern w:val="0"/>
          <w:sz w:val="32"/>
          <w:szCs w:val="28"/>
          <w:lang w:eastAsia="zh-CN"/>
        </w:rPr>
        <w:t>，</w:t>
      </w:r>
      <w:r>
        <w:rPr>
          <w:rFonts w:hint="default" w:ascii="Times New Roman" w:hAnsi="Times New Roman" w:eastAsia="仿宋_GB2312" w:cs="Times New Roman"/>
          <w:b w:val="0"/>
          <w:bCs/>
          <w:color w:val="333333"/>
          <w:kern w:val="0"/>
          <w:sz w:val="32"/>
          <w:szCs w:val="28"/>
        </w:rPr>
        <w:t>单价100万元以上专用设备</w:t>
      </w:r>
      <w:r>
        <w:rPr>
          <w:rFonts w:hint="eastAsia"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台。</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楷体_GB2312" w:cs="Times New Roman"/>
          <w:b w:val="0"/>
          <w:bCs/>
          <w:color w:val="auto"/>
          <w:sz w:val="32"/>
        </w:rPr>
      </w:pPr>
      <w:r>
        <w:rPr>
          <w:rFonts w:hint="default" w:ascii="Times New Roman" w:hAnsi="Times New Roman" w:eastAsia="楷体_GB2312" w:cs="Times New Roman"/>
          <w:b w:val="0"/>
          <w:bCs/>
          <w:color w:val="auto"/>
          <w:sz w:val="32"/>
        </w:rPr>
        <w:t>（</w:t>
      </w:r>
      <w:r>
        <w:rPr>
          <w:rFonts w:hint="eastAsia" w:ascii="Times New Roman" w:hAnsi="Times New Roman" w:eastAsia="楷体_GB2312" w:cs="Times New Roman"/>
          <w:b w:val="0"/>
          <w:bCs/>
          <w:color w:val="auto"/>
          <w:sz w:val="32"/>
          <w:lang w:eastAsia="zh-CN"/>
        </w:rPr>
        <w:t>三</w:t>
      </w:r>
      <w:r>
        <w:rPr>
          <w:rFonts w:hint="default" w:ascii="Times New Roman" w:hAnsi="Times New Roman" w:eastAsia="楷体_GB2312" w:cs="Times New Roman"/>
          <w:b w:val="0"/>
          <w:bCs/>
          <w:color w:val="auto"/>
          <w:sz w:val="32"/>
        </w:rPr>
        <w:t>）预算绩效管理工作开展情况。</w:t>
      </w:r>
    </w:p>
    <w:p>
      <w:pPr>
        <w:wordWrap/>
        <w:adjustRightInd/>
        <w:spacing w:before="0" w:beforeLines="0" w:after="0" w:afterLines="0" w:line="560" w:lineRule="exact"/>
        <w:ind w:left="0" w:leftChars="0" w:right="0" w:firstLine="640" w:firstLineChars="200"/>
        <w:textAlignment w:val="auto"/>
        <w:outlineLvl w:val="9"/>
        <w:rPr>
          <w:rFonts w:hint="eastAsia" w:ascii="Times New Roman" w:hAnsi="Times New Roman" w:eastAsia="仿宋_GB2312" w:cs="Times New Roman"/>
          <w:b w:val="0"/>
          <w:bCs/>
          <w:color w:val="auto"/>
          <w:kern w:val="0"/>
          <w:sz w:val="32"/>
          <w:szCs w:val="28"/>
          <w:lang w:eastAsia="zh-CN"/>
        </w:rPr>
      </w:pPr>
      <w:r>
        <w:rPr>
          <w:rFonts w:hint="default" w:ascii="Times New Roman" w:hAnsi="Times New Roman" w:eastAsia="仿宋_GB2312" w:cs="Times New Roman"/>
          <w:b w:val="0"/>
          <w:bCs/>
          <w:color w:val="auto"/>
          <w:kern w:val="0"/>
          <w:sz w:val="32"/>
          <w:szCs w:val="28"/>
        </w:rPr>
        <w:t>根据财政预算管理要求，</w:t>
      </w:r>
      <w:r>
        <w:rPr>
          <w:rFonts w:hint="eastAsia" w:ascii="Times New Roman" w:hAnsi="Times New Roman" w:eastAsia="仿宋_GB2312" w:cs="Times New Roman"/>
          <w:b w:val="0"/>
          <w:bCs/>
          <w:color w:val="auto"/>
          <w:kern w:val="0"/>
          <w:sz w:val="32"/>
          <w:szCs w:val="28"/>
          <w:lang w:eastAsia="zh-CN"/>
        </w:rPr>
        <w:t>2018年</w:t>
      </w:r>
      <w:r>
        <w:rPr>
          <w:rFonts w:hint="default" w:ascii="Times New Roman" w:hAnsi="Times New Roman" w:eastAsia="仿宋_GB2312" w:cs="Times New Roman"/>
          <w:b w:val="0"/>
          <w:bCs/>
          <w:color w:val="auto"/>
          <w:kern w:val="0"/>
          <w:sz w:val="32"/>
          <w:szCs w:val="28"/>
        </w:rPr>
        <w:t>度我</w:t>
      </w:r>
      <w:r>
        <w:rPr>
          <w:rFonts w:hint="eastAsia" w:ascii="Times New Roman" w:hAnsi="Times New Roman" w:eastAsia="仿宋_GB2312" w:cs="Times New Roman"/>
          <w:b w:val="0"/>
          <w:bCs/>
          <w:color w:val="auto"/>
          <w:kern w:val="0"/>
          <w:sz w:val="32"/>
          <w:szCs w:val="28"/>
          <w:lang w:eastAsia="zh-CN"/>
        </w:rPr>
        <w:t>中心</w:t>
      </w:r>
      <w:r>
        <w:rPr>
          <w:rFonts w:hint="default" w:ascii="Times New Roman" w:hAnsi="Times New Roman" w:eastAsia="仿宋_GB2312" w:cs="Times New Roman"/>
          <w:b w:val="0"/>
          <w:bCs/>
          <w:color w:val="auto"/>
          <w:kern w:val="0"/>
          <w:sz w:val="32"/>
          <w:szCs w:val="28"/>
        </w:rPr>
        <w:t>组织对</w:t>
      </w:r>
      <w:r>
        <w:rPr>
          <w:rFonts w:hint="eastAsia" w:ascii="Times New Roman" w:hAnsi="Times New Roman" w:eastAsia="仿宋_GB2312" w:cs="Times New Roman"/>
          <w:b w:val="0"/>
          <w:bCs/>
          <w:color w:val="auto"/>
          <w:kern w:val="0"/>
          <w:sz w:val="32"/>
          <w:szCs w:val="28"/>
          <w:lang w:val="en-US" w:eastAsia="zh-CN"/>
        </w:rPr>
        <w:t>2</w:t>
      </w:r>
      <w:r>
        <w:rPr>
          <w:rFonts w:hint="default" w:ascii="Times New Roman" w:hAnsi="Times New Roman" w:eastAsia="仿宋_GB2312" w:cs="Times New Roman"/>
          <w:b w:val="0"/>
          <w:bCs/>
          <w:color w:val="auto"/>
          <w:kern w:val="0"/>
          <w:sz w:val="32"/>
          <w:szCs w:val="28"/>
        </w:rPr>
        <w:t>个一般公共预算项目支出开展绩效自评，共涉及资金</w:t>
      </w:r>
      <w:r>
        <w:rPr>
          <w:rFonts w:hint="eastAsia" w:ascii="Times New Roman" w:hAnsi="Times New Roman" w:eastAsia="仿宋_GB2312" w:cs="Times New Roman"/>
          <w:b w:val="0"/>
          <w:bCs/>
          <w:color w:val="auto"/>
          <w:kern w:val="0"/>
          <w:sz w:val="32"/>
          <w:szCs w:val="28"/>
          <w:lang w:val="en-US" w:eastAsia="zh-CN"/>
        </w:rPr>
        <w:t>983.99</w:t>
      </w:r>
      <w:r>
        <w:rPr>
          <w:rFonts w:hint="default" w:ascii="Times New Roman" w:hAnsi="Times New Roman" w:eastAsia="仿宋_GB2312" w:cs="Times New Roman"/>
          <w:b w:val="0"/>
          <w:bCs/>
          <w:color w:val="auto"/>
          <w:kern w:val="0"/>
          <w:sz w:val="32"/>
          <w:szCs w:val="28"/>
        </w:rPr>
        <w:t>万元，占一般公共预算项目支出总额</w:t>
      </w:r>
      <w:r>
        <w:rPr>
          <w:rFonts w:hint="eastAsia" w:ascii="Times New Roman" w:hAnsi="Times New Roman" w:eastAsia="仿宋_GB2312" w:cs="Times New Roman"/>
          <w:b w:val="0"/>
          <w:bCs/>
          <w:color w:val="auto"/>
          <w:kern w:val="0"/>
          <w:sz w:val="32"/>
          <w:szCs w:val="28"/>
          <w:lang w:val="en-US" w:eastAsia="zh-CN"/>
        </w:rPr>
        <w:t>1244.38</w:t>
      </w:r>
      <w:r>
        <w:rPr>
          <w:rFonts w:hint="default" w:ascii="Times New Roman" w:hAnsi="Times New Roman" w:eastAsia="仿宋_GB2312" w:cs="Times New Roman"/>
          <w:b w:val="0"/>
          <w:bCs/>
          <w:color w:val="auto"/>
          <w:kern w:val="0"/>
          <w:sz w:val="32"/>
          <w:szCs w:val="28"/>
        </w:rPr>
        <w:t>万元的</w:t>
      </w:r>
      <w:r>
        <w:rPr>
          <w:rFonts w:hint="eastAsia" w:ascii="Times New Roman" w:hAnsi="Times New Roman" w:eastAsia="仿宋_GB2312" w:cs="Times New Roman"/>
          <w:b w:val="0"/>
          <w:bCs/>
          <w:color w:val="auto"/>
          <w:kern w:val="0"/>
          <w:sz w:val="32"/>
          <w:szCs w:val="28"/>
          <w:lang w:val="en-US" w:eastAsia="zh-CN"/>
        </w:rPr>
        <w:t>79.07</w:t>
      </w:r>
      <w:r>
        <w:rPr>
          <w:rFonts w:hint="default" w:ascii="Times New Roman" w:hAnsi="Times New Roman" w:eastAsia="仿宋_GB2312" w:cs="Times New Roman"/>
          <w:b w:val="0"/>
          <w:bCs/>
          <w:color w:val="auto"/>
          <w:kern w:val="0"/>
          <w:sz w:val="32"/>
          <w:szCs w:val="28"/>
        </w:rPr>
        <w:t>%；</w:t>
      </w:r>
      <w:r>
        <w:rPr>
          <w:rFonts w:hint="eastAsia" w:ascii="Times New Roman" w:hAnsi="Times New Roman" w:eastAsia="仿宋_GB2312" w:cs="Times New Roman"/>
          <w:b w:val="0"/>
          <w:bCs/>
          <w:color w:val="auto"/>
          <w:kern w:val="0"/>
          <w:sz w:val="32"/>
          <w:szCs w:val="28"/>
          <w:lang w:eastAsia="zh-CN"/>
        </w:rPr>
        <w:t>从自评情况来看项目支出绩效情况较为理想，达到了项目申请时设定的各项绩效目标，</w:t>
      </w:r>
      <w:r>
        <w:rPr>
          <w:rFonts w:hint="default" w:ascii="Times New Roman" w:hAnsi="Times New Roman" w:eastAsia="仿宋_GB2312" w:cs="Times New Roman"/>
          <w:b w:val="0"/>
          <w:bCs/>
          <w:color w:val="auto"/>
          <w:kern w:val="0"/>
          <w:sz w:val="32"/>
          <w:szCs w:val="28"/>
        </w:rPr>
        <w:t>预算执行良好；整体支出效果好，绩效目标全部完成，综合自评得分为9</w:t>
      </w:r>
      <w:r>
        <w:rPr>
          <w:rFonts w:hint="eastAsia" w:ascii="Times New Roman" w:hAnsi="Times New Roman" w:eastAsia="仿宋_GB2312" w:cs="Times New Roman"/>
          <w:b w:val="0"/>
          <w:bCs/>
          <w:color w:val="auto"/>
          <w:kern w:val="0"/>
          <w:sz w:val="32"/>
          <w:szCs w:val="28"/>
          <w:lang w:val="en-US" w:eastAsia="zh-CN"/>
        </w:rPr>
        <w:t>5</w:t>
      </w:r>
      <w:r>
        <w:rPr>
          <w:rFonts w:hint="default" w:ascii="Times New Roman" w:hAnsi="Times New Roman" w:eastAsia="仿宋_GB2312" w:cs="Times New Roman"/>
          <w:b w:val="0"/>
          <w:bCs/>
          <w:color w:val="auto"/>
          <w:kern w:val="0"/>
          <w:sz w:val="32"/>
          <w:szCs w:val="28"/>
        </w:rPr>
        <w:t>分，自评等级为“优秀”。</w:t>
      </w:r>
    </w:p>
    <w:p>
      <w:pPr>
        <w:wordWrap/>
        <w:adjustRightInd/>
        <w:snapToGrid w:val="0"/>
        <w:spacing w:before="0" w:beforeLines="0" w:after="0" w:afterLines="0" w:line="560" w:lineRule="exact"/>
        <w:ind w:left="0" w:leftChars="0" w:right="0" w:firstLine="640" w:firstLineChars="0"/>
        <w:textAlignment w:val="auto"/>
        <w:outlineLvl w:val="9"/>
        <w:rPr>
          <w:rFonts w:hint="default" w:ascii="Times New Roman" w:hAnsi="Times New Roman" w:eastAsia="仿宋_GB2312" w:cs="Times New Roman"/>
          <w:b w:val="0"/>
          <w:bCs/>
          <w:color w:val="333333"/>
          <w:kern w:val="0"/>
          <w:sz w:val="32"/>
          <w:szCs w:val="28"/>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r>
        <w:rPr>
          <w:rFonts w:hint="default" w:ascii="Times New Roman" w:hAnsi="Times New Roman" w:eastAsia="黑体" w:cs="Times New Roman"/>
          <w:b w:val="0"/>
          <w:bCs/>
          <w:color w:val="000000"/>
          <w:sz w:val="32"/>
        </w:rPr>
        <w:t>第四部分  名词解释</w:t>
      </w: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color w:val="000000"/>
          <w:sz w:val="32"/>
        </w:rPr>
      </w:pPr>
    </w:p>
    <w:p>
      <w:pPr>
        <w:wordWrap/>
        <w:adjustRightInd/>
        <w:spacing w:before="0" w:beforeLines="0" w:after="0" w:afterLines="0" w:line="560" w:lineRule="exact"/>
        <w:ind w:left="0" w:leftChars="0" w:right="0" w:firstLine="643" w:firstLineChars="200"/>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财政拨款收入：</w:t>
      </w:r>
      <w:r>
        <w:rPr>
          <w:rFonts w:hint="default" w:ascii="Times New Roman" w:hAnsi="Times New Roman" w:eastAsia="仿宋_GB2312" w:cs="Times New Roman"/>
          <w:color w:val="000000"/>
          <w:sz w:val="32"/>
        </w:rPr>
        <w:t>指财政当年拨付的资金。包括一般公共预算财政拨款和政府性基金财政拨款。</w:t>
      </w:r>
    </w:p>
    <w:p>
      <w:pPr>
        <w:wordWrap/>
        <w:adjustRightInd/>
        <w:spacing w:before="0" w:beforeLines="0" w:after="0" w:afterLines="0" w:line="560" w:lineRule="exact"/>
        <w:ind w:left="0" w:leftChars="0" w:right="0" w:firstLine="643" w:firstLineChars="200"/>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上级补助收入：</w:t>
      </w:r>
      <w:r>
        <w:rPr>
          <w:rFonts w:hint="default" w:ascii="Times New Roman" w:hAnsi="Times New Roman" w:eastAsia="仿宋_GB2312" w:cs="Times New Roman"/>
          <w:color w:val="000000"/>
          <w:sz w:val="32"/>
        </w:rPr>
        <w:t>指事业单位从主管部门和上级单位取得的非财政补助收入。</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事业收入：</w:t>
      </w:r>
      <w:r>
        <w:rPr>
          <w:rFonts w:hint="default" w:ascii="Times New Roman" w:hAnsi="Times New Roman" w:eastAsia="仿宋_GB2312" w:cs="Times New Roman"/>
          <w:color w:val="000000"/>
          <w:sz w:val="32"/>
        </w:rPr>
        <w:t>指事业单位开展专业业务活动及辅动所取得的收入。</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经营收入：</w:t>
      </w:r>
      <w:r>
        <w:rPr>
          <w:rFonts w:hint="default" w:ascii="Times New Roman" w:hAnsi="Times New Roman" w:eastAsia="仿宋_GB2312" w:cs="Times New Roman"/>
          <w:color w:val="000000"/>
          <w:sz w:val="32"/>
        </w:rPr>
        <w:t>指事业单位在专业业务活动及其辅助活动之外开展非独立核算经营活动取得的收入。</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附属单位上缴收入：</w:t>
      </w:r>
      <w:r>
        <w:rPr>
          <w:rFonts w:hint="default" w:ascii="Times New Roman" w:hAnsi="Times New Roman" w:eastAsia="仿宋_GB2312" w:cs="Times New Roman"/>
          <w:color w:val="000000"/>
          <w:sz w:val="32"/>
        </w:rPr>
        <w:t>指事业单位附属独立核算单位按照有关规定上缴的收入。</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其他收入：</w:t>
      </w:r>
      <w:r>
        <w:rPr>
          <w:rFonts w:hint="default" w:ascii="Times New Roman" w:hAnsi="Times New Roman" w:eastAsia="仿宋_GB2312" w:cs="Times New Roman"/>
          <w:color w:val="000000"/>
          <w:sz w:val="32"/>
        </w:rPr>
        <w:t>指除上述“财政拨款收入”、“事业收入”、“经营收入”等以外的收入。</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用事业基金弥补收支差额：</w:t>
      </w:r>
      <w:r>
        <w:rPr>
          <w:rFonts w:hint="default" w:ascii="Times New Roman" w:hAnsi="Times New Roman" w:eastAsia="仿宋_GB2312" w:cs="Times New Roman"/>
          <w:color w:val="000000"/>
          <w:sz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年初结转和结余：</w:t>
      </w:r>
      <w:r>
        <w:rPr>
          <w:rFonts w:hint="default" w:ascii="Times New Roman" w:hAnsi="Times New Roman" w:eastAsia="仿宋_GB2312" w:cs="Times New Roman"/>
          <w:color w:val="000000"/>
          <w:sz w:val="32"/>
        </w:rPr>
        <w:t>指以前年度尚未完成、结转到本年按有关规定继续使用的资金。</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结余分配：</w:t>
      </w:r>
      <w:r>
        <w:rPr>
          <w:rFonts w:hint="default" w:ascii="Times New Roman" w:hAnsi="Times New Roman" w:eastAsia="仿宋_GB2312" w:cs="Times New Roman"/>
          <w:color w:val="000000"/>
          <w:sz w:val="32"/>
        </w:rPr>
        <w:t>指事业事位按规定从非财政补助结余中分配的事业基金和职工福利基金等。</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年末结转和结余：</w:t>
      </w:r>
      <w:r>
        <w:rPr>
          <w:rFonts w:hint="default" w:ascii="Times New Roman" w:hAnsi="Times New Roman" w:eastAsia="仿宋_GB2312" w:cs="Times New Roman"/>
          <w:color w:val="000000"/>
          <w:sz w:val="32"/>
        </w:rPr>
        <w:t>指本年度或以前年度预算安排、因客观条件发生变化无法按原计划实施，需要延迟到以后年度按有关规定继续使用的资金。</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基本支出：</w:t>
      </w:r>
      <w:r>
        <w:rPr>
          <w:rFonts w:hint="default" w:ascii="Times New Roman" w:hAnsi="Times New Roman" w:eastAsia="仿宋_GB2312" w:cs="Times New Roman"/>
          <w:color w:val="000000"/>
          <w:sz w:val="32"/>
        </w:rPr>
        <w:t>指为保障机构正常运转、完成日常工作任务面发生的人员支出和公用支出。</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项目支出：</w:t>
      </w:r>
      <w:r>
        <w:rPr>
          <w:rFonts w:hint="default" w:ascii="Times New Roman" w:hAnsi="Times New Roman" w:eastAsia="仿宋_GB2312" w:cs="Times New Roman"/>
          <w:color w:val="000000"/>
          <w:sz w:val="32"/>
        </w:rPr>
        <w:t>指在基本支出这外为完成特定行政任务和事业发展目标所发生的支出。</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经营支出：</w:t>
      </w:r>
      <w:r>
        <w:rPr>
          <w:rFonts w:hint="default" w:ascii="Times New Roman" w:hAnsi="Times New Roman" w:eastAsia="仿宋_GB2312" w:cs="Times New Roman"/>
          <w:color w:val="000000"/>
          <w:sz w:val="32"/>
        </w:rPr>
        <w:t>指事业单位在专业业务活动及其辅助活动之外开展非独立核算经营活动所发生的支出。</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b/>
          <w:color w:val="000000"/>
          <w:sz w:val="32"/>
        </w:rPr>
        <w:t>“三公”经费：</w:t>
      </w:r>
      <w:r>
        <w:rPr>
          <w:rFonts w:hint="default" w:ascii="Times New Roman" w:hAnsi="Times New Roman" w:eastAsia="仿宋_GB2312" w:cs="Times New Roman"/>
          <w:color w:val="000000"/>
          <w:kern w:val="0"/>
          <w:sz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机关运行经费：</w:t>
      </w:r>
      <w:r>
        <w:rPr>
          <w:rFonts w:hint="default" w:ascii="Times New Roman" w:hAnsi="Times New Roman" w:eastAsia="仿宋_GB2312" w:cs="Times New Roman"/>
          <w:color w:val="000000"/>
          <w:sz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p>
    <w:p>
      <w:pPr>
        <w:widowControl/>
        <w:wordWrap/>
        <w:adjustRightInd/>
        <w:spacing w:before="0" w:beforeLines="0" w:after="0" w:afterLines="0" w:line="560" w:lineRule="exact"/>
        <w:ind w:left="0" w:leftChars="0" w:right="0" w:firstLine="560" w:firstLineChars="200"/>
        <w:textAlignment w:val="auto"/>
        <w:outlineLvl w:val="9"/>
        <w:rPr>
          <w:rFonts w:hint="default" w:ascii="Times New Roman" w:hAnsi="Times New Roman" w:eastAsia="仿宋" w:cs="Times New Roman"/>
          <w:color w:val="000000"/>
          <w:sz w:val="28"/>
        </w:rPr>
      </w:pPr>
    </w:p>
    <w:p>
      <w:pPr>
        <w:numPr>
          <w:ilvl w:val="0"/>
          <w:numId w:val="0"/>
        </w:numPr>
        <w:jc w:val="both"/>
        <w:rPr>
          <w:rFonts w:hint="eastAsia" w:ascii="黑体" w:hAnsi="黑体" w:eastAsia="黑体" w:cs="黑体"/>
          <w:sz w:val="36"/>
          <w:szCs w:val="36"/>
          <w:lang w:val="en-US" w:eastAsia="zh-CN"/>
        </w:rPr>
      </w:pPr>
    </w:p>
    <w:sectPr>
      <w:pgSz w:w="11906" w:h="16838"/>
      <w:pgMar w:top="1871" w:right="1531" w:bottom="1871" w:left="1531"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9F207"/>
    <w:multiLevelType w:val="singleLevel"/>
    <w:tmpl w:val="0CD9F207"/>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F314F11"/>
    <w:rsid w:val="02F67ABB"/>
    <w:rsid w:val="03FF3477"/>
    <w:rsid w:val="072D40E8"/>
    <w:rsid w:val="09470390"/>
    <w:rsid w:val="0AA42405"/>
    <w:rsid w:val="0B687845"/>
    <w:rsid w:val="0C205EA7"/>
    <w:rsid w:val="0F314F11"/>
    <w:rsid w:val="132D69B2"/>
    <w:rsid w:val="15F005C2"/>
    <w:rsid w:val="17003409"/>
    <w:rsid w:val="1B1914E8"/>
    <w:rsid w:val="1F0E6B16"/>
    <w:rsid w:val="235440B4"/>
    <w:rsid w:val="284B3A4C"/>
    <w:rsid w:val="2B454793"/>
    <w:rsid w:val="2CF14CE8"/>
    <w:rsid w:val="2E2F1482"/>
    <w:rsid w:val="33217910"/>
    <w:rsid w:val="36543A8A"/>
    <w:rsid w:val="3B2377EF"/>
    <w:rsid w:val="3D217618"/>
    <w:rsid w:val="3DA97015"/>
    <w:rsid w:val="3DD219CB"/>
    <w:rsid w:val="3FDF4EEC"/>
    <w:rsid w:val="417757BF"/>
    <w:rsid w:val="41C5116D"/>
    <w:rsid w:val="42772B00"/>
    <w:rsid w:val="439012F9"/>
    <w:rsid w:val="44886678"/>
    <w:rsid w:val="460C6530"/>
    <w:rsid w:val="46E018C3"/>
    <w:rsid w:val="4C8D032C"/>
    <w:rsid w:val="4DA33714"/>
    <w:rsid w:val="4DD9170C"/>
    <w:rsid w:val="4E3B31C9"/>
    <w:rsid w:val="4FBD2548"/>
    <w:rsid w:val="4FFA543C"/>
    <w:rsid w:val="5D6955AA"/>
    <w:rsid w:val="5F416665"/>
    <w:rsid w:val="5FC63214"/>
    <w:rsid w:val="6023705E"/>
    <w:rsid w:val="6F005B2B"/>
    <w:rsid w:val="70F36777"/>
    <w:rsid w:val="730277EA"/>
    <w:rsid w:val="752E1299"/>
    <w:rsid w:val="765444C8"/>
    <w:rsid w:val="76BC4184"/>
    <w:rsid w:val="77286C6A"/>
    <w:rsid w:val="785B0118"/>
    <w:rsid w:val="7D3830AD"/>
    <w:rsid w:val="7DD52133"/>
    <w:rsid w:val="7F451FE1"/>
    <w:rsid w:val="7F727C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1</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2019-05-29T12:17:00Z</dcterms:created>
  <dc:creator>wus</dc:creator>
  <cp:lastModifiedBy>wus</cp:lastModifiedBy>
  <cp:lastPrinted>2019-08-26T09:28:00Z</cp:lastPrinted>
  <dcterms:modified xsi:type="dcterms:W3CDTF">2019-09-04T07:35:49Z</dcterms:modified>
  <dc:title> 2018 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